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rPr>
          <w:rFonts w:ascii="黑体" w:hAnsi="黑体" w:eastAsia="黑体"/>
          <w:sz w:val="32"/>
          <w:szCs w:val="32"/>
        </w:rPr>
      </w:pPr>
      <w:r>
        <w:rPr>
          <w:rFonts w:hint="eastAsia" w:ascii="黑体" w:hAnsi="黑体" w:eastAsia="黑体"/>
          <w:sz w:val="32"/>
          <w:szCs w:val="32"/>
        </w:rPr>
        <w:t xml:space="preserve">附件1： </w:t>
      </w:r>
    </w:p>
    <w:p>
      <w:pPr>
        <w:spacing w:line="540" w:lineRule="exact"/>
        <w:rPr>
          <w:rFonts w:ascii="方正小标宋_GBK" w:hAnsi="宋体" w:eastAsia="方正小标宋_GBK"/>
          <w:sz w:val="44"/>
          <w:szCs w:val="44"/>
        </w:rPr>
      </w:pPr>
    </w:p>
    <w:p>
      <w:pPr>
        <w:spacing w:line="540" w:lineRule="exact"/>
        <w:jc w:val="center"/>
        <w:rPr>
          <w:rFonts w:ascii="方正小标宋_GBK" w:hAnsi="宋体" w:eastAsia="方正小标宋_GBK"/>
          <w:sz w:val="44"/>
          <w:szCs w:val="44"/>
        </w:rPr>
      </w:pPr>
      <w:r>
        <w:rPr>
          <w:rFonts w:hint="eastAsia" w:ascii="方正小标宋_GBK" w:hAnsi="宋体" w:eastAsia="方正小标宋_GBK"/>
          <w:sz w:val="44"/>
          <w:szCs w:val="44"/>
        </w:rPr>
        <w:t>2018年度新疆喀什地区泽普县人力资源和社会保障局部门决算公开说明</w:t>
      </w:r>
    </w:p>
    <w:p>
      <w:pPr>
        <w:spacing w:line="540" w:lineRule="exact"/>
        <w:rPr>
          <w:rFonts w:ascii="仿宋_GB2312" w:hAnsi="宋体" w:eastAsia="仿宋_GB2312"/>
          <w:sz w:val="32"/>
          <w:szCs w:val="32"/>
        </w:rPr>
      </w:pPr>
    </w:p>
    <w:p>
      <w:pPr>
        <w:spacing w:line="540" w:lineRule="exact"/>
        <w:jc w:val="center"/>
        <w:rPr>
          <w:rFonts w:ascii="黑体" w:hAnsi="黑体" w:eastAsia="黑体"/>
          <w:bCs/>
          <w:kern w:val="0"/>
          <w:sz w:val="32"/>
          <w:szCs w:val="32"/>
        </w:rPr>
      </w:pPr>
      <w:r>
        <w:rPr>
          <w:rFonts w:hint="eastAsia" w:ascii="黑体" w:hAnsi="黑体" w:eastAsia="黑体"/>
          <w:bCs/>
          <w:kern w:val="0"/>
          <w:sz w:val="32"/>
          <w:szCs w:val="32"/>
        </w:rPr>
        <w:t>目  录</w:t>
      </w:r>
    </w:p>
    <w:p>
      <w:pPr>
        <w:spacing w:line="540" w:lineRule="exact"/>
        <w:rPr>
          <w:rFonts w:ascii="仿宋_GB2312" w:hAnsi="宋体" w:eastAsia="仿宋_GB2312"/>
          <w:b/>
          <w:kern w:val="0"/>
          <w:sz w:val="32"/>
          <w:szCs w:val="32"/>
        </w:rPr>
      </w:pP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第一部分 部门单位概况</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一、主要职能</w:t>
      </w:r>
    </w:p>
    <w:p>
      <w:pPr>
        <w:spacing w:line="540" w:lineRule="exact"/>
        <w:ind w:firstLine="640" w:firstLineChars="200"/>
        <w:rPr>
          <w:rFonts w:ascii="仿宋_GB2312" w:hAnsi="宋体" w:eastAsia="仿宋_GB2312"/>
          <w:kern w:val="0"/>
          <w:sz w:val="32"/>
          <w:szCs w:val="32"/>
        </w:rPr>
      </w:pPr>
      <w:r>
        <w:rPr>
          <w:rFonts w:hint="eastAsia" w:ascii="仿宋_GB2312" w:hAnsi="宋体" w:eastAsia="仿宋_GB2312"/>
          <w:kern w:val="0"/>
          <w:sz w:val="32"/>
          <w:szCs w:val="32"/>
        </w:rPr>
        <w:t>二、</w:t>
      </w:r>
      <w:r>
        <w:rPr>
          <w:rFonts w:hint="eastAsia" w:ascii="仿宋_GB2312" w:eastAsia="仿宋_GB2312"/>
          <w:sz w:val="32"/>
          <w:szCs w:val="32"/>
        </w:rPr>
        <w:t>机构设置情况</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第二部分 部门决算情况说明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一、部门收支总体情况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（一）部门收入支出决算总体情况说明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（二）部门收入总体情况说明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（三）部门支出总体情况说明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二、部门财政拨款收支情况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（一）财政拨款收支总体情况说明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（二）一般公共预算收支决算情况说明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（三）政府性基金预算收支决算情况说明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三、部门结转结余情况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四、一般公共预算“三公”经费支出情况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五、机关运行经费支出情况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六、政府采购情况</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七、其他重要事项的情况</w:t>
      </w:r>
    </w:p>
    <w:p>
      <w:pPr>
        <w:spacing w:line="540" w:lineRule="exact"/>
        <w:ind w:firstLine="640" w:firstLineChars="200"/>
        <w:rPr>
          <w:rFonts w:ascii="仿宋_GB2312" w:eastAsia="仿宋_GB2312"/>
          <w:sz w:val="32"/>
          <w:szCs w:val="32"/>
        </w:rPr>
      </w:pPr>
      <w:bookmarkStart w:id="0" w:name="OLE_LINK94"/>
      <w:bookmarkStart w:id="1" w:name="OLE_LINK95"/>
      <w:r>
        <w:rPr>
          <w:rFonts w:hint="eastAsia" w:ascii="仿宋_GB2312" w:eastAsia="仿宋_GB2312"/>
          <w:sz w:val="32"/>
          <w:szCs w:val="32"/>
        </w:rPr>
        <w:t>（一）国有资产占用情况说明</w:t>
      </w:r>
      <w:bookmarkEnd w:id="0"/>
      <w:bookmarkEnd w:id="1"/>
    </w:p>
    <w:p>
      <w:pPr>
        <w:spacing w:line="540" w:lineRule="exact"/>
        <w:ind w:firstLine="640" w:firstLineChars="200"/>
        <w:rPr>
          <w:rFonts w:ascii="仿宋_GB2312" w:eastAsia="仿宋_GB2312"/>
          <w:sz w:val="32"/>
          <w:szCs w:val="32"/>
        </w:rPr>
      </w:pPr>
      <w:bookmarkStart w:id="2" w:name="OLE_LINK96"/>
      <w:r>
        <w:rPr>
          <w:rFonts w:hint="eastAsia" w:ascii="仿宋_GB2312" w:eastAsia="仿宋_GB2312"/>
          <w:sz w:val="32"/>
          <w:szCs w:val="32"/>
        </w:rPr>
        <w:t>（二）预算绩效情况的说明</w:t>
      </w:r>
      <w:bookmarkEnd w:id="2"/>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第三部分 专业名词解释</w:t>
      </w:r>
    </w:p>
    <w:p>
      <w:pPr>
        <w:spacing w:line="540" w:lineRule="exact"/>
        <w:ind w:firstLine="640" w:firstLineChars="200"/>
        <w:rPr>
          <w:rFonts w:ascii="黑体" w:hAnsi="黑体" w:eastAsia="黑体"/>
          <w:kern w:val="0"/>
          <w:sz w:val="32"/>
          <w:szCs w:val="32"/>
        </w:rPr>
      </w:pPr>
      <w:r>
        <w:rPr>
          <w:rFonts w:hint="eastAsia" w:ascii="黑体" w:hAnsi="黑体" w:eastAsia="黑体"/>
          <w:kern w:val="0"/>
          <w:sz w:val="32"/>
          <w:szCs w:val="32"/>
        </w:rPr>
        <w:t>第四部分 部</w:t>
      </w:r>
      <w:r>
        <w:rPr>
          <w:rFonts w:hint="eastAsia" w:ascii="黑体" w:hAnsi="黑体" w:eastAsia="黑体"/>
          <w:sz w:val="32"/>
          <w:szCs w:val="32"/>
        </w:rPr>
        <w:t>门决算公开的8张报表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《一般公共预算财政拨款“三公”经费支出决算表》</w:t>
      </w:r>
    </w:p>
    <w:p>
      <w:pPr>
        <w:spacing w:line="540" w:lineRule="exact"/>
        <w:ind w:firstLine="640" w:firstLineChars="200"/>
        <w:rPr>
          <w:rFonts w:ascii="仿宋_GB2312" w:hAnsi="宋体" w:eastAsia="仿宋_GB2312"/>
          <w:sz w:val="32"/>
          <w:szCs w:val="32"/>
        </w:rPr>
      </w:pPr>
      <w:r>
        <w:rPr>
          <w:rFonts w:hint="eastAsia" w:ascii="仿宋_GB2312" w:eastAsia="仿宋_GB2312"/>
          <w:sz w:val="32"/>
          <w:szCs w:val="32"/>
        </w:rPr>
        <w:t>《政府性基金预算财政拨款收入支出决算表》</w:t>
      </w:r>
    </w:p>
    <w:p>
      <w:pPr>
        <w:spacing w:line="540" w:lineRule="exact"/>
        <w:ind w:firstLine="640" w:firstLineChars="200"/>
        <w:rPr>
          <w:rFonts w:ascii="黑体" w:hAnsi="黑体" w:eastAsia="黑体"/>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第一部分 部门单位概况</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一、主要职能</w:t>
      </w:r>
    </w:p>
    <w:p>
      <w:pPr>
        <w:spacing w:line="500" w:lineRule="exact"/>
        <w:rPr>
          <w:rFonts w:hint="eastAsia" w:ascii="仿宋_GB2312" w:eastAsia="仿宋_GB2312"/>
          <w:sz w:val="32"/>
          <w:szCs w:val="32"/>
          <w:highlight w:val="none"/>
        </w:rPr>
      </w:pPr>
      <w:r>
        <w:rPr>
          <w:rFonts w:hint="eastAsia" w:ascii="仿宋_GB2312" w:eastAsia="仿宋_GB2312"/>
          <w:sz w:val="32"/>
          <w:szCs w:val="32"/>
        </w:rPr>
        <w:t xml:space="preserve">    </w:t>
      </w:r>
      <w:r>
        <w:rPr>
          <w:rFonts w:hint="eastAsia" w:ascii="仿宋_GB2312" w:eastAsia="仿宋_GB2312"/>
          <w:sz w:val="32"/>
          <w:szCs w:val="32"/>
          <w:highlight w:val="none"/>
        </w:rPr>
        <w:t>1、贯彻执行国家、自治区、地区人力资源和社会保障事业发展规划、政策；落实相关政策和措施并组织实施和监督检查。</w:t>
      </w:r>
    </w:p>
    <w:p>
      <w:pPr>
        <w:spacing w:line="5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2、组织实施全县人力资源市场发展规划和人力资源流动办法措施，指导和监督人力资源服务机构管理，促进人力资源合理流动、有效配置。</w:t>
      </w:r>
    </w:p>
    <w:p>
      <w:pPr>
        <w:spacing w:line="5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3、负责促进就业工作。贯彻落实自治区、地区统筹城乡就业政策，落实县城乡就业发展规划，完善县公共就业服务体系；组织落实就业援助制度；落实职业资格制度相关措施办法，统筹建立面向城乡劳动者的就业培训制度；会同有关部门落实高校毕业生就业政策和高技能人才、农村实用人才培养和激励政策。</w:t>
      </w:r>
    </w:p>
    <w:p>
      <w:pPr>
        <w:spacing w:line="5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4、承办覆盖城乡的社会保障体系建设工作。组织并落实城乡社会保险及其补充保险政策和标准；落实机关企事业单位基本养老保险政策；会同有关部门落实社会保险及其补充保险基金管理和监督办法；落实自治区社会保障基金投资政策。</w:t>
      </w:r>
    </w:p>
    <w:p>
      <w:pPr>
        <w:spacing w:line="5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5、负责就业、失业、社会保险基金预测预警和信息引导；落实应对预案，实施预防、调解和控制，保持就业形势和社会保险基金总体收支平衡。</w:t>
      </w:r>
    </w:p>
    <w:p>
      <w:pPr>
        <w:spacing w:line="5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6、会同有关部门落实企事业单位人员工资收入分配制度改革实施意见，促进建立企事业单位人员工资正常增长和支付保障机制；落实企事业单位人员福利和离退休政策；参与县域内企业劳动模范评定工作。</w:t>
      </w:r>
    </w:p>
    <w:p>
      <w:pPr>
        <w:spacing w:line="5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7、会同有关部门推进事业单位人事制度改革，落实事业单位人员和机关工勤人员管理制度，参与人才管理工作，落实专业技术人员管理和继续教育政策；负责落实推进深化职称制度改革。</w:t>
      </w:r>
    </w:p>
    <w:p>
      <w:pPr>
        <w:spacing w:line="5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8、会同有关部门落实表彰奖励制度、综合管理事业单位干部考核表彰奖励工作。</w:t>
      </w:r>
    </w:p>
    <w:p>
      <w:pPr>
        <w:spacing w:line="5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9、会同有关部门落实农民工工作综合性政策的实施意见和规划，协调解决重点难点问题，维护农民工合法权益。</w:t>
      </w:r>
    </w:p>
    <w:p>
      <w:pPr>
        <w:spacing w:line="5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10、统筹实施劳动、人事争议调解仲裁制度；落实劳动关系政策，完善劳动关系协调机制；监督落实消除非法使用童工政策和未成年工的特殊劳动保护政策；组织实施劳动监察，协调劳动者维权工作，依法查处重大案件。</w:t>
      </w:r>
    </w:p>
    <w:p>
      <w:pPr>
        <w:spacing w:line="500" w:lineRule="exact"/>
        <w:ind w:firstLine="640" w:firstLineChars="200"/>
        <w:rPr>
          <w:rFonts w:hint="eastAsia" w:ascii="仿宋_GB2312" w:eastAsia="仿宋_GB2312"/>
          <w:sz w:val="32"/>
          <w:szCs w:val="32"/>
          <w:highlight w:val="none"/>
        </w:rPr>
      </w:pPr>
      <w:r>
        <w:rPr>
          <w:rFonts w:hint="eastAsia" w:ascii="仿宋_GB2312" w:eastAsia="仿宋_GB2312"/>
          <w:sz w:val="32"/>
          <w:szCs w:val="32"/>
          <w:highlight w:val="none"/>
        </w:rPr>
        <w:t>11、受理县人力资源和社会保障方面信访事项，落实信访工作预案；会同有关部门协调处理有关劳动、人事方面的重大信访事件或突发事件。</w:t>
      </w:r>
    </w:p>
    <w:p>
      <w:pPr>
        <w:spacing w:line="500" w:lineRule="exact"/>
        <w:ind w:firstLine="640" w:firstLineChars="200"/>
        <w:rPr>
          <w:rFonts w:ascii="黑体" w:hAnsi="黑体" w:eastAsia="黑体" w:cs="宋体"/>
          <w:bCs/>
          <w:kern w:val="0"/>
          <w:sz w:val="32"/>
          <w:szCs w:val="32"/>
          <w:highlight w:val="none"/>
        </w:rPr>
      </w:pPr>
      <w:r>
        <w:rPr>
          <w:rFonts w:hint="eastAsia" w:ascii="仿宋_GB2312" w:eastAsia="仿宋_GB2312"/>
          <w:sz w:val="32"/>
          <w:szCs w:val="32"/>
          <w:highlight w:val="none"/>
        </w:rPr>
        <w:t xml:space="preserve">12、承办县委、政府交办的其他事项。 </w:t>
      </w:r>
    </w:p>
    <w:p>
      <w:pPr>
        <w:spacing w:line="540" w:lineRule="exact"/>
        <w:ind w:firstLine="640" w:firstLineChars="200"/>
        <w:rPr>
          <w:rFonts w:ascii="黑体" w:hAnsi="黑体" w:eastAsia="黑体" w:cs="宋体"/>
          <w:bCs/>
          <w:kern w:val="0"/>
          <w:sz w:val="32"/>
          <w:szCs w:val="32"/>
        </w:rPr>
      </w:pPr>
      <w:r>
        <w:rPr>
          <w:rFonts w:hint="eastAsia" w:ascii="黑体" w:hAnsi="黑体" w:eastAsia="黑体" w:cs="宋体"/>
          <w:bCs/>
          <w:kern w:val="0"/>
          <w:sz w:val="32"/>
          <w:szCs w:val="32"/>
        </w:rPr>
        <w:t>二、机构设置情况</w:t>
      </w:r>
    </w:p>
    <w:p>
      <w:pPr>
        <w:spacing w:line="540" w:lineRule="exact"/>
        <w:ind w:firstLine="640" w:firstLineChars="200"/>
        <w:rPr>
          <w:rFonts w:ascii="仿宋_GB2312" w:hAnsi="宋体" w:eastAsia="仿宋_GB2312" w:cs="宋体"/>
          <w:kern w:val="0"/>
          <w:sz w:val="32"/>
          <w:szCs w:val="32"/>
        </w:rPr>
      </w:pPr>
      <w:bookmarkStart w:id="3" w:name="OLE_LINK51"/>
      <w:r>
        <w:rPr>
          <w:rFonts w:hint="eastAsia" w:ascii="仿宋_GB2312" w:eastAsia="仿宋_GB2312"/>
          <w:sz w:val="32"/>
          <w:szCs w:val="32"/>
        </w:rPr>
        <w:t>从决算单位构成看，</w:t>
      </w:r>
      <w:r>
        <w:rPr>
          <w:rFonts w:ascii="仿宋_GB2312" w:eastAsia="仿宋_GB2312"/>
          <w:sz w:val="32"/>
          <w:szCs w:val="32"/>
        </w:rPr>
        <w:t>新疆喀什地区泽普县人力资源和社会保障局</w:t>
      </w:r>
      <w:r>
        <w:rPr>
          <w:rFonts w:hint="eastAsia" w:ascii="仿宋_GB2312" w:eastAsia="仿宋_GB2312"/>
          <w:sz w:val="32"/>
          <w:szCs w:val="32"/>
        </w:rPr>
        <w:t>部门决算包括：</w:t>
      </w:r>
      <w:r>
        <w:rPr>
          <w:rFonts w:ascii="仿宋_GB2312" w:eastAsia="仿宋_GB2312"/>
          <w:sz w:val="32"/>
          <w:szCs w:val="32"/>
        </w:rPr>
        <w:t>新疆喀什地区泽普县人力资源和社会保障局</w:t>
      </w:r>
      <w:r>
        <w:rPr>
          <w:rFonts w:hint="eastAsia" w:ascii="仿宋_GB2312" w:eastAsia="仿宋_GB2312"/>
          <w:sz w:val="32"/>
          <w:szCs w:val="32"/>
        </w:rPr>
        <w:t>部门本级决算、所属单位决算等。</w:t>
      </w:r>
    </w:p>
    <w:p>
      <w:pPr>
        <w:spacing w:line="540" w:lineRule="exact"/>
        <w:ind w:firstLine="640" w:firstLineChars="200"/>
        <w:rPr>
          <w:rFonts w:ascii="仿宋_GB2312" w:eastAsia="仿宋_GB2312"/>
          <w:spacing w:val="-6"/>
          <w:sz w:val="32"/>
          <w:szCs w:val="32"/>
        </w:rPr>
      </w:pPr>
      <w:r>
        <w:rPr>
          <w:rFonts w:hint="eastAsia" w:ascii="仿宋_GB2312" w:eastAsia="仿宋_GB2312"/>
          <w:sz w:val="32"/>
          <w:szCs w:val="32"/>
        </w:rPr>
        <w:t>纳入</w:t>
      </w:r>
      <w:r>
        <w:rPr>
          <w:rFonts w:ascii="仿宋_GB2312" w:eastAsia="仿宋_GB2312"/>
          <w:sz w:val="32"/>
          <w:szCs w:val="32"/>
        </w:rPr>
        <w:t>新疆喀什地区泽普县人力资源和社会保障局</w:t>
      </w:r>
      <w:r>
        <w:rPr>
          <w:rFonts w:hint="eastAsia" w:ascii="仿宋_GB2312" w:eastAsia="仿宋_GB2312"/>
          <w:sz w:val="32"/>
          <w:szCs w:val="32"/>
        </w:rPr>
        <w:t>2018年部门决算编制范围的单位名单见下表</w:t>
      </w:r>
      <w:r>
        <w:rPr>
          <w:rFonts w:hint="eastAsia" w:ascii="仿宋_GB2312" w:eastAsia="仿宋_GB2312"/>
          <w:spacing w:val="-6"/>
          <w:sz w:val="32"/>
          <w:szCs w:val="32"/>
        </w:rPr>
        <w:t>：</w:t>
      </w:r>
      <w:bookmarkEnd w:id="3"/>
    </w:p>
    <w:p>
      <w:pPr>
        <w:spacing w:line="540" w:lineRule="exact"/>
        <w:ind w:firstLine="616" w:firstLineChars="200"/>
        <w:rPr>
          <w:rFonts w:ascii="仿宋_GB2312" w:eastAsia="仿宋_GB2312"/>
          <w:spacing w:val="-6"/>
          <w:sz w:val="32"/>
          <w:szCs w:val="32"/>
        </w:rPr>
      </w:pPr>
    </w:p>
    <w:p>
      <w:pPr>
        <w:spacing w:line="540" w:lineRule="exact"/>
        <w:ind w:firstLine="616" w:firstLineChars="200"/>
        <w:rPr>
          <w:rFonts w:ascii="仿宋_GB2312" w:eastAsia="仿宋_GB2312"/>
          <w:spacing w:val="-6"/>
          <w:sz w:val="32"/>
          <w:szCs w:val="32"/>
        </w:rPr>
      </w:pPr>
    </w:p>
    <w:tbl>
      <w:tblPr>
        <w:tblStyle w:val="7"/>
        <w:tblW w:w="94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56"/>
        <w:gridCol w:w="3870"/>
        <w:gridCol w:w="2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trPr>
        <w:tc>
          <w:tcPr>
            <w:tcW w:w="3056" w:type="dxa"/>
            <w:vAlign w:val="center"/>
          </w:tcPr>
          <w:p>
            <w:r>
              <w:t>序号</w:t>
            </w:r>
          </w:p>
        </w:tc>
        <w:tc>
          <w:tcPr>
            <w:tcW w:w="3870" w:type="dxa"/>
            <w:vAlign w:val="center"/>
          </w:tcPr>
          <w:p>
            <w:r>
              <w:t>单位名称</w:t>
            </w:r>
          </w:p>
        </w:tc>
        <w:tc>
          <w:tcPr>
            <w:tcW w:w="2538" w:type="dxa"/>
            <w:vAlign w:val="center"/>
          </w:tcPr>
          <w:p>
            <w: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056" w:type="dxa"/>
          </w:tcPr>
          <w:p>
            <w:r>
              <w:t>1</w:t>
            </w:r>
          </w:p>
        </w:tc>
        <w:tc>
          <w:tcPr>
            <w:tcW w:w="3870" w:type="dxa"/>
          </w:tcPr>
          <w:p>
            <w:r>
              <w:t>新疆喀什地区泽普县人力资源和社会保障局</w:t>
            </w:r>
          </w:p>
        </w:tc>
        <w:tc>
          <w:tcPr>
            <w:tcW w:w="2538" w:type="dxa"/>
            <w:vAlign w:val="center"/>
          </w:tcPr>
          <w:p/>
        </w:tc>
      </w:tr>
    </w:tbl>
    <w:p>
      <w:pPr>
        <w:spacing w:line="500" w:lineRule="exact"/>
        <w:rPr>
          <w:rFonts w:ascii="仿宋_GB2312" w:hAnsi="宋体" w:eastAsia="仿宋_GB2312" w:cs="宋体"/>
          <w:kern w:val="0"/>
          <w:sz w:val="32"/>
          <w:szCs w:val="32"/>
        </w:rPr>
      </w:pPr>
    </w:p>
    <w:p>
      <w:pPr>
        <w:spacing w:line="500" w:lineRule="exact"/>
        <w:rPr>
          <w:rFonts w:ascii="仿宋_GB2312" w:hAnsi="宋体" w:eastAsia="仿宋_GB2312" w:cs="宋体"/>
          <w:kern w:val="0"/>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第二部分 部门决算情况说明</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一、部门收支总体情况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（一）部门收入支出决算总体情况说明</w:t>
      </w:r>
    </w:p>
    <w:p>
      <w:pPr>
        <w:spacing w:line="540" w:lineRule="exact"/>
        <w:ind w:firstLine="640" w:firstLineChars="200"/>
        <w:rPr>
          <w:rFonts w:ascii="仿宋_GB2312" w:hAnsi="Calibri" w:eastAsia="仿宋_GB2312"/>
          <w:color w:val="000000" w:themeColor="text1"/>
          <w:sz w:val="32"/>
          <w:szCs w:val="32"/>
          <w:lang w:val="en-GB"/>
        </w:rPr>
      </w:pPr>
      <w:bookmarkStart w:id="4" w:name="OLE_LINK99"/>
      <w:bookmarkStart w:id="5" w:name="OLE_LINK100"/>
      <w:bookmarkStart w:id="6" w:name="OLE_LINK52"/>
      <w:r>
        <w:rPr>
          <w:rFonts w:hint="eastAsia" w:ascii="仿宋_GB2312" w:eastAsia="仿宋_GB2312"/>
          <w:color w:val="000000" w:themeColor="text1"/>
          <w:sz w:val="32"/>
          <w:szCs w:val="32"/>
        </w:rPr>
        <w:t>2018年度收入</w:t>
      </w:r>
      <w:r>
        <w:rPr>
          <w:rFonts w:hint="eastAsia" w:ascii="仿宋_GB2312" w:eastAsia="仿宋_GB2312"/>
          <w:sz w:val="32"/>
          <w:szCs w:val="32"/>
        </w:rPr>
        <w:t>2,567.6</w:t>
      </w:r>
      <w:r>
        <w:rPr>
          <w:rFonts w:hint="eastAsia" w:ascii="仿宋_GB2312" w:eastAsia="仿宋_GB2312"/>
          <w:color w:val="000000" w:themeColor="text1"/>
          <w:sz w:val="32"/>
          <w:szCs w:val="32"/>
        </w:rPr>
        <w:t>万元</w:t>
      </w:r>
      <w:bookmarkEnd w:id="4"/>
      <w:bookmarkEnd w:id="5"/>
      <w:r>
        <w:rPr>
          <w:rFonts w:hint="eastAsia" w:ascii="仿宋_GB2312" w:eastAsia="仿宋_GB2312"/>
          <w:sz w:val="32"/>
          <w:szCs w:val="32"/>
        </w:rPr>
        <w:t>，与上年相比，增加297.72万元，增长13.12%，增加的主要原因是：</w:t>
      </w:r>
      <w:r>
        <w:rPr>
          <w:rFonts w:hint="eastAsia" w:ascii="仿宋_GB2312" w:eastAsia="仿宋_GB2312"/>
          <w:color w:val="000000" w:themeColor="text1"/>
          <w:sz w:val="32"/>
          <w:szCs w:val="32"/>
        </w:rPr>
        <w:t>上级拨入就业资金增加，人员调资；</w:t>
      </w:r>
      <w:bookmarkEnd w:id="6"/>
      <w:bookmarkStart w:id="7" w:name="OLE_LINK53"/>
      <w:r>
        <w:rPr>
          <w:rFonts w:hint="eastAsia" w:ascii="仿宋_GB2312" w:eastAsia="仿宋_GB2312"/>
          <w:color w:val="000000" w:themeColor="text1"/>
          <w:sz w:val="32"/>
          <w:szCs w:val="32"/>
        </w:rPr>
        <w:t>支出</w:t>
      </w:r>
      <w:r>
        <w:rPr>
          <w:rFonts w:hint="eastAsia" w:ascii="仿宋_GB2312" w:eastAsia="仿宋_GB2312"/>
          <w:sz w:val="32"/>
          <w:szCs w:val="32"/>
        </w:rPr>
        <w:t>2,580.9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，与上年相比，增加284.32万元，增长12.38%，增加的主要原因是：</w:t>
      </w:r>
      <w:r>
        <w:rPr>
          <w:rFonts w:hint="eastAsia" w:ascii="仿宋_GB2312" w:eastAsia="仿宋_GB2312"/>
          <w:color w:val="000000" w:themeColor="text1"/>
          <w:sz w:val="32"/>
          <w:szCs w:val="32"/>
        </w:rPr>
        <w:t>上级拨入就业补助资金增加，人员调资；</w:t>
      </w:r>
      <w:bookmarkEnd w:id="7"/>
      <w:bookmarkStart w:id="8" w:name="OLE_LINK54"/>
      <w:r>
        <w:rPr>
          <w:rFonts w:hint="eastAsia" w:ascii="仿宋_GB2312" w:eastAsia="仿宋_GB2312"/>
          <w:color w:val="000000" w:themeColor="text1"/>
          <w:sz w:val="32"/>
          <w:szCs w:val="32"/>
        </w:rPr>
        <w:t>结余</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，与上年相比，减少13.3万元，下降100%，减少的主要原因是：</w:t>
      </w:r>
      <w:r>
        <w:rPr>
          <w:rFonts w:ascii="仿宋_GB2312" w:eastAsia="仿宋_GB2312"/>
          <w:color w:val="000000" w:themeColor="text1"/>
          <w:sz w:val="32"/>
          <w:szCs w:val="32"/>
        </w:rPr>
        <w:t>单位严抓项目进度，加快资金拨付。</w:t>
      </w:r>
      <w:bookmarkEnd w:id="8"/>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（二）部门收入总体情况说明</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本年收入合计</w:t>
      </w:r>
      <w:r>
        <w:rPr>
          <w:rFonts w:hint="eastAsia" w:ascii="仿宋_GB2312" w:eastAsia="仿宋_GB2312"/>
          <w:sz w:val="32"/>
          <w:szCs w:val="32"/>
        </w:rPr>
        <w:t>2,567.6</w:t>
      </w:r>
      <w:r>
        <w:rPr>
          <w:rFonts w:hint="eastAsia" w:ascii="仿宋_GB2312" w:eastAsia="仿宋_GB2312"/>
          <w:color w:val="000000" w:themeColor="text1"/>
          <w:sz w:val="32"/>
          <w:szCs w:val="32"/>
        </w:rPr>
        <w:t>万元，其中：</w:t>
      </w:r>
      <w:bookmarkStart w:id="9" w:name="OLE_LINK1"/>
      <w:r>
        <w:rPr>
          <w:rFonts w:hint="eastAsia" w:ascii="仿宋_GB2312" w:eastAsia="仿宋_GB2312"/>
          <w:color w:val="000000" w:themeColor="text1"/>
          <w:sz w:val="32"/>
          <w:szCs w:val="32"/>
        </w:rPr>
        <w:t>财政拨款收入</w:t>
      </w:r>
      <w:bookmarkEnd w:id="9"/>
      <w:r>
        <w:rPr>
          <w:rFonts w:hint="eastAsia" w:ascii="仿宋_GB2312" w:eastAsia="仿宋_GB2312"/>
          <w:sz w:val="32"/>
          <w:szCs w:val="32"/>
        </w:rPr>
        <w:t>2,567.6</w:t>
      </w:r>
      <w:r>
        <w:rPr>
          <w:rFonts w:hint="eastAsia" w:ascii="仿宋_GB2312" w:eastAsia="仿宋_GB2312"/>
          <w:color w:val="000000" w:themeColor="text1"/>
          <w:sz w:val="32"/>
          <w:szCs w:val="32"/>
        </w:rPr>
        <w:t>万元，占</w:t>
      </w:r>
      <w:r>
        <w:rPr>
          <w:rFonts w:hint="eastAsia" w:ascii="仿宋_GB2312" w:eastAsia="仿宋_GB2312"/>
          <w:sz w:val="32"/>
          <w:szCs w:val="32"/>
        </w:rPr>
        <w:t>100%</w:t>
      </w:r>
      <w:r>
        <w:rPr>
          <w:rFonts w:hint="eastAsia" w:ascii="仿宋_GB2312" w:eastAsia="仿宋_GB2312"/>
          <w:color w:val="000000" w:themeColor="text1"/>
          <w:sz w:val="32"/>
          <w:szCs w:val="32"/>
        </w:rPr>
        <w:t>；</w:t>
      </w:r>
      <w:bookmarkStart w:id="10" w:name="OLE_LINK2"/>
      <w:r>
        <w:rPr>
          <w:rFonts w:hint="eastAsia" w:ascii="仿宋_GB2312" w:eastAsia="仿宋_GB2312"/>
          <w:color w:val="000000" w:themeColor="text1"/>
          <w:sz w:val="32"/>
          <w:szCs w:val="32"/>
        </w:rPr>
        <w:t>上级补助收入</w:t>
      </w:r>
      <w:bookmarkEnd w:id="10"/>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1" w:name="OLE_LINK3"/>
      <w:r>
        <w:rPr>
          <w:rFonts w:hint="eastAsia" w:ascii="仿宋_GB2312" w:eastAsia="仿宋_GB2312"/>
          <w:color w:val="000000" w:themeColor="text1"/>
          <w:sz w:val="32"/>
          <w:szCs w:val="32"/>
        </w:rPr>
        <w:t>事业收入</w:t>
      </w:r>
      <w:bookmarkEnd w:id="11"/>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2" w:name="OLE_LINK4"/>
      <w:r>
        <w:rPr>
          <w:rFonts w:hint="eastAsia" w:ascii="仿宋_GB2312" w:eastAsia="仿宋_GB2312"/>
          <w:color w:val="000000" w:themeColor="text1"/>
          <w:sz w:val="32"/>
          <w:szCs w:val="32"/>
        </w:rPr>
        <w:t>经营收入</w:t>
      </w:r>
      <w:bookmarkEnd w:id="1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3" w:name="OLE_LINK5"/>
      <w:r>
        <w:rPr>
          <w:rFonts w:hint="eastAsia" w:ascii="仿宋_GB2312" w:eastAsia="仿宋_GB2312"/>
          <w:color w:val="000000" w:themeColor="text1"/>
          <w:sz w:val="32"/>
          <w:szCs w:val="32"/>
        </w:rPr>
        <w:t>附属单位缴款</w:t>
      </w:r>
      <w:bookmarkEnd w:id="13"/>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14" w:name="OLE_LINK6"/>
      <w:r>
        <w:rPr>
          <w:rFonts w:hint="eastAsia" w:ascii="仿宋_GB2312" w:eastAsia="仿宋_GB2312"/>
          <w:color w:val="000000" w:themeColor="text1"/>
          <w:sz w:val="32"/>
          <w:szCs w:val="32"/>
        </w:rPr>
        <w:t>其他收入</w:t>
      </w:r>
      <w:bookmarkEnd w:id="14"/>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bookmarkStart w:id="15" w:name="OLE_LINK55"/>
      <w:r>
        <w:rPr>
          <w:rFonts w:hint="eastAsia" w:ascii="仿宋_GB2312" w:eastAsia="仿宋_GB2312"/>
          <w:sz w:val="32"/>
          <w:szCs w:val="32"/>
        </w:rPr>
        <w:t>与年初预算数相比情</w:t>
      </w:r>
      <w:r>
        <w:rPr>
          <w:rFonts w:hint="eastAsia" w:ascii="仿宋_GB2312" w:eastAsia="仿宋_GB2312"/>
          <w:color w:val="000000" w:themeColor="text1"/>
          <w:sz w:val="32"/>
          <w:szCs w:val="32"/>
        </w:rPr>
        <w:t>况：本年收入年初预算数2,288.64万元</w:t>
      </w:r>
      <w:r>
        <w:rPr>
          <w:rFonts w:hint="eastAsia" w:ascii="仿宋_GB2312" w:eastAsia="仿宋_GB2312"/>
          <w:sz w:val="32"/>
          <w:szCs w:val="32"/>
        </w:rPr>
        <w:t>，决算数2,567.6万元</w:t>
      </w:r>
      <w:r>
        <w:rPr>
          <w:rFonts w:ascii="仿宋_GB2312" w:eastAsia="仿宋_GB2312"/>
          <w:sz w:val="32"/>
          <w:szCs w:val="32"/>
        </w:rPr>
        <w:t>，预决算差异率12.19%，差异主要原因是</w:t>
      </w:r>
      <w:r>
        <w:rPr>
          <w:rFonts w:hint="eastAsia" w:ascii="仿宋_GB2312" w:eastAsia="仿宋_GB2312"/>
          <w:sz w:val="32"/>
          <w:szCs w:val="32"/>
          <w:lang w:val="en-US" w:eastAsia="zh-CN"/>
        </w:rPr>
        <w:t>:</w:t>
      </w:r>
      <w:r>
        <w:rPr>
          <w:rFonts w:ascii="仿宋_GB2312" w:eastAsia="仿宋_GB2312"/>
          <w:sz w:val="32"/>
          <w:szCs w:val="32"/>
        </w:rPr>
        <w:t>人员调资，上级拨入就业补助资金增加。</w:t>
      </w:r>
      <w:bookmarkEnd w:id="15"/>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（三）部门支出总体情况说明</w:t>
      </w:r>
    </w:p>
    <w:p>
      <w:pPr>
        <w:spacing w:line="540" w:lineRule="exact"/>
        <w:ind w:firstLine="640" w:firstLineChars="200"/>
        <w:rPr>
          <w:rFonts w:ascii="仿宋_GB2312" w:eastAsia="仿宋_GB2312"/>
          <w:color w:val="000000" w:themeColor="text1"/>
          <w:spacing w:val="-6"/>
          <w:sz w:val="32"/>
          <w:szCs w:val="32"/>
        </w:rPr>
      </w:pPr>
      <w:bookmarkStart w:id="16" w:name="OLE_LINK7"/>
      <w:r>
        <w:rPr>
          <w:rFonts w:hint="eastAsia" w:ascii="仿宋_GB2312" w:eastAsia="仿宋_GB2312"/>
          <w:color w:val="000000" w:themeColor="text1"/>
          <w:sz w:val="32"/>
          <w:szCs w:val="32"/>
        </w:rPr>
        <w:t>本年支出合计</w:t>
      </w:r>
      <w:bookmarkEnd w:id="16"/>
      <w:r>
        <w:rPr>
          <w:rFonts w:hint="eastAsia" w:ascii="仿宋_GB2312" w:eastAsia="仿宋_GB2312"/>
          <w:sz w:val="32"/>
          <w:szCs w:val="32"/>
        </w:rPr>
        <w:t>2,580.9</w:t>
      </w:r>
      <w:r>
        <w:rPr>
          <w:rFonts w:hint="eastAsia" w:ascii="仿宋_GB2312" w:eastAsia="仿宋_GB2312"/>
          <w:color w:val="000000" w:themeColor="text1"/>
          <w:sz w:val="32"/>
          <w:szCs w:val="32"/>
        </w:rPr>
        <w:t>万元，其中：</w:t>
      </w:r>
      <w:bookmarkStart w:id="17" w:name="OLE_LINK8"/>
      <w:r>
        <w:rPr>
          <w:rFonts w:hint="eastAsia" w:ascii="仿宋_GB2312" w:eastAsia="仿宋_GB2312"/>
          <w:color w:val="000000" w:themeColor="text1"/>
          <w:sz w:val="32"/>
          <w:szCs w:val="32"/>
        </w:rPr>
        <w:t>基本支出</w:t>
      </w:r>
      <w:bookmarkEnd w:id="17"/>
      <w:r>
        <w:rPr>
          <w:rFonts w:hint="eastAsia" w:ascii="仿宋_GB2312" w:eastAsia="仿宋_GB2312"/>
          <w:sz w:val="32"/>
          <w:szCs w:val="32"/>
        </w:rPr>
        <w:t>622.97</w:t>
      </w:r>
      <w:r>
        <w:rPr>
          <w:rFonts w:hint="eastAsia" w:ascii="仿宋_GB2312" w:eastAsia="仿宋_GB2312"/>
          <w:color w:val="000000" w:themeColor="text1"/>
          <w:sz w:val="32"/>
          <w:szCs w:val="32"/>
        </w:rPr>
        <w:t>万元，占</w:t>
      </w:r>
      <w:r>
        <w:rPr>
          <w:rFonts w:hint="eastAsia" w:ascii="仿宋_GB2312" w:eastAsia="仿宋_GB2312"/>
          <w:sz w:val="32"/>
          <w:szCs w:val="32"/>
        </w:rPr>
        <w:t>24.14%</w:t>
      </w:r>
      <w:r>
        <w:rPr>
          <w:rFonts w:hint="eastAsia" w:ascii="仿宋_GB2312" w:eastAsia="仿宋_GB2312"/>
          <w:color w:val="000000" w:themeColor="text1"/>
          <w:sz w:val="32"/>
          <w:szCs w:val="32"/>
        </w:rPr>
        <w:t>；</w:t>
      </w:r>
      <w:bookmarkStart w:id="18" w:name="OLE_LINK9"/>
      <w:r>
        <w:rPr>
          <w:rFonts w:hint="eastAsia" w:ascii="仿宋_GB2312" w:eastAsia="仿宋_GB2312"/>
          <w:color w:val="000000" w:themeColor="text1"/>
          <w:sz w:val="32"/>
          <w:szCs w:val="32"/>
        </w:rPr>
        <w:t>项目支出</w:t>
      </w:r>
      <w:bookmarkEnd w:id="18"/>
      <w:r>
        <w:rPr>
          <w:rFonts w:hint="eastAsia" w:ascii="仿宋_GB2312" w:eastAsia="仿宋_GB2312"/>
          <w:sz w:val="32"/>
          <w:szCs w:val="32"/>
        </w:rPr>
        <w:t>1,957.93</w:t>
      </w:r>
      <w:r>
        <w:rPr>
          <w:rFonts w:hint="eastAsia" w:ascii="仿宋_GB2312" w:eastAsia="仿宋_GB2312"/>
          <w:color w:val="000000" w:themeColor="text1"/>
          <w:sz w:val="32"/>
          <w:szCs w:val="32"/>
        </w:rPr>
        <w:t>万元，占</w:t>
      </w:r>
      <w:r>
        <w:rPr>
          <w:rFonts w:hint="eastAsia" w:ascii="仿宋_GB2312" w:eastAsia="仿宋_GB2312"/>
          <w:sz w:val="32"/>
          <w:szCs w:val="32"/>
        </w:rPr>
        <w:t>75.86%</w:t>
      </w:r>
      <w:r>
        <w:rPr>
          <w:rFonts w:hint="eastAsia" w:ascii="仿宋_GB2312" w:eastAsia="仿宋_GB2312"/>
          <w:color w:val="000000" w:themeColor="text1"/>
          <w:sz w:val="32"/>
          <w:szCs w:val="32"/>
        </w:rPr>
        <w:t>；</w:t>
      </w:r>
      <w:bookmarkStart w:id="19" w:name="OLE_LINK10"/>
      <w:r>
        <w:rPr>
          <w:rFonts w:hint="eastAsia" w:ascii="仿宋_GB2312" w:eastAsia="仿宋_GB2312"/>
          <w:color w:val="000000" w:themeColor="text1"/>
          <w:sz w:val="32"/>
          <w:szCs w:val="32"/>
        </w:rPr>
        <w:t>上缴上级支出</w:t>
      </w:r>
      <w:bookmarkEnd w:id="1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w:t>
      </w:r>
      <w:r>
        <w:rPr>
          <w:rFonts w:hint="eastAsia" w:ascii="仿宋_GB2312" w:eastAsia="仿宋_GB2312"/>
          <w:color w:val="000000" w:themeColor="text1"/>
          <w:sz w:val="32"/>
          <w:szCs w:val="32"/>
        </w:rPr>
        <w:t>；</w:t>
      </w:r>
      <w:bookmarkStart w:id="20" w:name="OLE_LINK11"/>
      <w:r>
        <w:rPr>
          <w:rFonts w:hint="eastAsia" w:ascii="仿宋_GB2312" w:eastAsia="仿宋_GB2312"/>
          <w:color w:val="000000" w:themeColor="text1"/>
          <w:spacing w:val="-6"/>
          <w:sz w:val="32"/>
          <w:szCs w:val="32"/>
        </w:rPr>
        <w:t>经营支出</w:t>
      </w:r>
      <w:bookmarkEnd w:id="20"/>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r>
        <w:rPr>
          <w:rFonts w:hint="eastAsia" w:ascii="仿宋_GB2312" w:eastAsia="仿宋_GB2312"/>
          <w:color w:val="000000" w:themeColor="text1"/>
          <w:spacing w:val="-6"/>
          <w:sz w:val="32"/>
          <w:szCs w:val="32"/>
        </w:rPr>
        <w:t>；</w:t>
      </w:r>
      <w:bookmarkStart w:id="21" w:name="OLE_LINK12"/>
      <w:r>
        <w:rPr>
          <w:rFonts w:hint="eastAsia" w:ascii="仿宋_GB2312" w:eastAsia="仿宋_GB2312"/>
          <w:color w:val="000000" w:themeColor="text1"/>
          <w:spacing w:val="-6"/>
          <w:sz w:val="32"/>
          <w:szCs w:val="32"/>
        </w:rPr>
        <w:t>对附属单位补助支出</w:t>
      </w:r>
      <w:bookmarkEnd w:id="21"/>
      <w:r>
        <w:rPr>
          <w:rFonts w:hint="eastAsia" w:ascii="仿宋_GB2312" w:eastAsia="仿宋_GB2312"/>
          <w:sz w:val="32"/>
          <w:szCs w:val="32"/>
        </w:rPr>
        <w:t>0</w:t>
      </w:r>
      <w:r>
        <w:rPr>
          <w:rFonts w:hint="eastAsia" w:ascii="仿宋_GB2312" w:eastAsia="仿宋_GB2312"/>
          <w:color w:val="000000" w:themeColor="text1"/>
          <w:spacing w:val="-6"/>
          <w:sz w:val="32"/>
          <w:szCs w:val="32"/>
        </w:rPr>
        <w:t>万元，占</w:t>
      </w:r>
      <w:r>
        <w:rPr>
          <w:rFonts w:hint="eastAsia" w:ascii="仿宋_GB2312" w:eastAsia="仿宋_GB2312"/>
          <w:sz w:val="32"/>
          <w:szCs w:val="32"/>
        </w:rPr>
        <w:t>0%</w:t>
      </w:r>
    </w:p>
    <w:p>
      <w:pPr>
        <w:spacing w:line="540" w:lineRule="exact"/>
        <w:ind w:firstLine="640" w:firstLineChars="200"/>
        <w:rPr>
          <w:rFonts w:ascii="仿宋_GB2312" w:eastAsia="仿宋_GB2312"/>
          <w:sz w:val="32"/>
          <w:szCs w:val="32"/>
        </w:rPr>
      </w:pPr>
      <w:bookmarkStart w:id="22" w:name="OLE_LINK56"/>
      <w:r>
        <w:rPr>
          <w:rFonts w:hint="eastAsia" w:ascii="仿宋_GB2312" w:eastAsia="仿宋_GB2312"/>
          <w:color w:val="000000" w:themeColor="text1"/>
          <w:sz w:val="32"/>
          <w:szCs w:val="32"/>
        </w:rPr>
        <w:t>与年初预算数相比情况：本年支出年初预算数2,288.64万元，</w:t>
      </w:r>
      <w:r>
        <w:rPr>
          <w:rFonts w:hint="eastAsia" w:ascii="仿宋_GB2312" w:eastAsia="仿宋_GB2312"/>
          <w:sz w:val="32"/>
          <w:szCs w:val="32"/>
        </w:rPr>
        <w:t>决算数2,580.9万元</w:t>
      </w:r>
      <w:r>
        <w:rPr>
          <w:rFonts w:ascii="仿宋_GB2312" w:eastAsia="仿宋_GB2312"/>
          <w:sz w:val="32"/>
          <w:szCs w:val="32"/>
        </w:rPr>
        <w:t>，预决算差异率12.77%，差异主要原因是</w:t>
      </w:r>
      <w:r>
        <w:rPr>
          <w:rFonts w:hint="eastAsia" w:ascii="仿宋_GB2312" w:eastAsia="仿宋_GB2312"/>
          <w:sz w:val="32"/>
          <w:szCs w:val="32"/>
          <w:lang w:val="en-US" w:eastAsia="zh-CN"/>
        </w:rPr>
        <w:t>:</w:t>
      </w:r>
      <w:r>
        <w:rPr>
          <w:rFonts w:ascii="仿宋_GB2312" w:eastAsia="仿宋_GB2312"/>
          <w:sz w:val="32"/>
          <w:szCs w:val="32"/>
        </w:rPr>
        <w:t>人员调资，上级拨入就业补助资金增加。</w:t>
      </w:r>
    </w:p>
    <w:bookmarkEnd w:id="22"/>
    <w:p>
      <w:pPr>
        <w:spacing w:line="540" w:lineRule="exact"/>
        <w:ind w:firstLine="640" w:firstLineChars="200"/>
        <w:rPr>
          <w:rFonts w:ascii="黑体" w:hAnsi="黑体" w:eastAsia="黑体"/>
          <w:sz w:val="32"/>
          <w:szCs w:val="32"/>
        </w:rPr>
      </w:pPr>
      <w:r>
        <w:rPr>
          <w:rFonts w:hint="eastAsia" w:ascii="黑体" w:hAnsi="黑体" w:eastAsia="黑体"/>
          <w:sz w:val="32"/>
          <w:szCs w:val="32"/>
        </w:rPr>
        <w:t>二、部门财政拨款收支情况</w:t>
      </w:r>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（一）财政拨款收支总体情况说明</w:t>
      </w:r>
    </w:p>
    <w:p>
      <w:pPr>
        <w:spacing w:line="540" w:lineRule="exact"/>
        <w:ind w:firstLine="640" w:firstLineChars="200"/>
        <w:rPr>
          <w:rFonts w:ascii="仿宋_GB2312" w:eastAsia="仿宋_GB2312"/>
          <w:color w:val="000000" w:themeColor="text1"/>
          <w:sz w:val="32"/>
          <w:szCs w:val="32"/>
        </w:rPr>
      </w:pPr>
      <w:bookmarkStart w:id="23" w:name="OLE_LINK57"/>
      <w:bookmarkStart w:id="24" w:name="OLE_LINK58"/>
      <w:r>
        <w:rPr>
          <w:rFonts w:hint="eastAsia" w:ascii="仿宋_GB2312" w:eastAsia="仿宋_GB2312"/>
          <w:color w:val="000000" w:themeColor="text1"/>
          <w:sz w:val="32"/>
          <w:szCs w:val="32"/>
        </w:rPr>
        <w:t>2018年度</w:t>
      </w:r>
      <w:bookmarkStart w:id="25" w:name="OLE_LINK13"/>
      <w:r>
        <w:rPr>
          <w:rFonts w:hint="eastAsia" w:ascii="仿宋_GB2312" w:eastAsia="仿宋_GB2312"/>
          <w:color w:val="000000" w:themeColor="text1"/>
          <w:sz w:val="32"/>
          <w:szCs w:val="32"/>
        </w:rPr>
        <w:t>财政拨款收入</w:t>
      </w:r>
      <w:bookmarkEnd w:id="25"/>
      <w:r>
        <w:rPr>
          <w:rFonts w:hint="eastAsia" w:ascii="仿宋_GB2312" w:eastAsia="仿宋_GB2312"/>
          <w:sz w:val="32"/>
          <w:szCs w:val="32"/>
        </w:rPr>
        <w:t>2,567.6</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，与上年相比，增加297.72万元，增长13.12%，增加的主要原因是：人员调资，上级拨入就业补助资金增加。</w:t>
      </w:r>
      <w:bookmarkEnd w:id="23"/>
      <w:bookmarkEnd w:id="24"/>
      <w:bookmarkStart w:id="26" w:name="OLE_LINK14"/>
      <w:bookmarkStart w:id="27" w:name="OLE_LINK60"/>
      <w:bookmarkStart w:id="28" w:name="OLE_LINK59"/>
      <w:r>
        <w:rPr>
          <w:rFonts w:hint="eastAsia" w:ascii="仿宋_GB2312" w:eastAsia="仿宋_GB2312"/>
          <w:color w:val="000000" w:themeColor="text1"/>
          <w:sz w:val="32"/>
          <w:szCs w:val="32"/>
        </w:rPr>
        <w:t>财政拨款支出</w:t>
      </w:r>
      <w:bookmarkEnd w:id="26"/>
      <w:r>
        <w:rPr>
          <w:rFonts w:hint="eastAsia" w:ascii="仿宋_GB2312" w:eastAsia="仿宋_GB2312"/>
          <w:sz w:val="32"/>
          <w:szCs w:val="32"/>
        </w:rPr>
        <w:t>2,580.9</w:t>
      </w:r>
      <w:r>
        <w:rPr>
          <w:rFonts w:hint="eastAsia" w:ascii="仿宋_GB2312" w:eastAsia="仿宋_GB2312"/>
          <w:color w:val="000000" w:themeColor="text1"/>
          <w:sz w:val="32"/>
          <w:szCs w:val="32"/>
        </w:rPr>
        <w:t>万元</w:t>
      </w:r>
      <w:r>
        <w:rPr>
          <w:rFonts w:hint="eastAsia" w:ascii="仿宋_GB2312" w:eastAsia="仿宋_GB2312"/>
          <w:sz w:val="32"/>
          <w:szCs w:val="32"/>
        </w:rPr>
        <w:t>，与上年相比，增加284.32万元，增长12.38%，增加的主要原因是：</w:t>
      </w:r>
      <w:r>
        <w:rPr>
          <w:rFonts w:ascii="仿宋_GB2312" w:eastAsia="仿宋_GB2312"/>
          <w:sz w:val="32"/>
          <w:szCs w:val="32"/>
        </w:rPr>
        <w:t>上级拨入就业补助资金增加，人员调资。</w:t>
      </w:r>
      <w:bookmarkEnd w:id="27"/>
      <w:bookmarkEnd w:id="28"/>
      <w:bookmarkStart w:id="29" w:name="OLE_LINK61"/>
      <w:r>
        <w:rPr>
          <w:rFonts w:hint="eastAsia" w:ascii="仿宋_GB2312" w:eastAsia="仿宋_GB2312"/>
          <w:color w:val="000000" w:themeColor="text1"/>
          <w:sz w:val="32"/>
          <w:szCs w:val="32"/>
        </w:rPr>
        <w:t>其中：</w:t>
      </w:r>
      <w:bookmarkStart w:id="30" w:name="OLE_LINK15"/>
      <w:r>
        <w:rPr>
          <w:rFonts w:hint="eastAsia" w:ascii="仿宋_GB2312" w:eastAsia="仿宋_GB2312"/>
          <w:color w:val="000000" w:themeColor="text1"/>
          <w:sz w:val="32"/>
          <w:szCs w:val="32"/>
        </w:rPr>
        <w:t>基本支出</w:t>
      </w:r>
      <w:bookmarkEnd w:id="30"/>
      <w:r>
        <w:rPr>
          <w:rFonts w:hint="eastAsia" w:ascii="仿宋_GB2312" w:eastAsia="仿宋_GB2312"/>
          <w:sz w:val="32"/>
          <w:szCs w:val="32"/>
        </w:rPr>
        <w:t>622.97</w:t>
      </w:r>
      <w:r>
        <w:rPr>
          <w:rFonts w:hint="eastAsia" w:ascii="仿宋_GB2312" w:eastAsia="仿宋_GB2312"/>
          <w:color w:val="000000" w:themeColor="text1"/>
          <w:sz w:val="32"/>
          <w:szCs w:val="32"/>
        </w:rPr>
        <w:t>万元，项目支出</w:t>
      </w:r>
      <w:r>
        <w:rPr>
          <w:rFonts w:hint="eastAsia" w:ascii="仿宋_GB2312" w:eastAsia="仿宋_GB2312"/>
          <w:sz w:val="32"/>
          <w:szCs w:val="32"/>
        </w:rPr>
        <w:t>1,957.93</w:t>
      </w:r>
      <w:r>
        <w:rPr>
          <w:rFonts w:hint="eastAsia" w:ascii="仿宋_GB2312" w:eastAsia="仿宋_GB2312"/>
          <w:color w:val="000000" w:themeColor="text1"/>
          <w:sz w:val="32"/>
          <w:szCs w:val="32"/>
        </w:rPr>
        <w:t>万元。</w:t>
      </w:r>
      <w:bookmarkStart w:id="31" w:name="OLE_LINK16"/>
      <w:r>
        <w:rPr>
          <w:rFonts w:hint="eastAsia" w:ascii="仿宋_GB2312" w:eastAsia="仿宋_GB2312"/>
          <w:color w:val="000000" w:themeColor="text1"/>
          <w:sz w:val="32"/>
          <w:szCs w:val="32"/>
        </w:rPr>
        <w:t>财政拨款结转结余</w:t>
      </w:r>
      <w:bookmarkEnd w:id="31"/>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，与上年相比，减少13.3万元，下降100%，减少的主要原因是：单位严抓项目进度，加快资金拨付。</w:t>
      </w:r>
      <w:bookmarkEnd w:id="29"/>
    </w:p>
    <w:p>
      <w:pPr>
        <w:spacing w:line="540" w:lineRule="exact"/>
        <w:ind w:firstLine="640" w:firstLineChars="200"/>
        <w:rPr>
          <w:rFonts w:ascii="仿宋_GB2312" w:eastAsia="仿宋_GB2312"/>
          <w:color w:val="000000" w:themeColor="text1"/>
          <w:sz w:val="32"/>
          <w:szCs w:val="32"/>
        </w:rPr>
      </w:pPr>
      <w:bookmarkStart w:id="32" w:name="OLE_LINK62"/>
      <w:r>
        <w:rPr>
          <w:rFonts w:hint="eastAsia" w:ascii="仿宋_GB2312" w:eastAsia="仿宋_GB2312"/>
          <w:color w:val="000000" w:themeColor="text1"/>
          <w:sz w:val="32"/>
          <w:szCs w:val="32"/>
        </w:rPr>
        <w:t>与年初预算数相比情况：财政拨款收入年初预算数</w:t>
      </w:r>
      <w:r>
        <w:rPr>
          <w:rFonts w:ascii="仿宋_GB2312" w:eastAsia="仿宋_GB2312"/>
          <w:color w:val="000000" w:themeColor="text1"/>
          <w:sz w:val="32"/>
          <w:szCs w:val="32"/>
        </w:rPr>
        <w:t>2,288.64</w:t>
      </w:r>
      <w:r>
        <w:rPr>
          <w:rFonts w:hint="eastAsia" w:ascii="仿宋_GB2312" w:eastAsia="仿宋_GB2312"/>
          <w:color w:val="000000" w:themeColor="text1"/>
          <w:sz w:val="32"/>
          <w:szCs w:val="32"/>
        </w:rPr>
        <w:t>万元，决算数</w:t>
      </w:r>
      <w:r>
        <w:rPr>
          <w:rFonts w:hint="eastAsia" w:ascii="仿宋_GB2312" w:eastAsia="仿宋_GB2312"/>
          <w:sz w:val="32"/>
          <w:szCs w:val="32"/>
        </w:rPr>
        <w:t>2,567.6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，预决算差异率12.19%，差异主要原因是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人员调资，上级拨入就业补助资金增加。</w:t>
      </w:r>
      <w:bookmarkEnd w:id="32"/>
      <w:bookmarkStart w:id="33" w:name="OLE_LINK63"/>
      <w:r>
        <w:rPr>
          <w:rFonts w:hint="eastAsia" w:ascii="仿宋_GB2312" w:eastAsia="仿宋_GB2312"/>
          <w:color w:val="000000" w:themeColor="text1"/>
          <w:sz w:val="32"/>
          <w:szCs w:val="32"/>
        </w:rPr>
        <w:t>财政拨款支出年初预算数</w:t>
      </w:r>
      <w:r>
        <w:rPr>
          <w:rFonts w:ascii="仿宋_GB2312" w:eastAsia="仿宋_GB2312"/>
          <w:color w:val="000000" w:themeColor="text1"/>
          <w:sz w:val="32"/>
          <w:szCs w:val="32"/>
        </w:rPr>
        <w:t>2,288.64</w:t>
      </w:r>
      <w:r>
        <w:rPr>
          <w:rFonts w:hint="eastAsia" w:ascii="仿宋_GB2312" w:eastAsia="仿宋_GB2312"/>
          <w:color w:val="000000" w:themeColor="text1"/>
          <w:sz w:val="32"/>
          <w:szCs w:val="32"/>
        </w:rPr>
        <w:t>万元，决算数</w:t>
      </w:r>
      <w:r>
        <w:rPr>
          <w:rFonts w:hint="eastAsia" w:ascii="仿宋_GB2312" w:eastAsia="仿宋_GB2312"/>
          <w:sz w:val="32"/>
          <w:szCs w:val="32"/>
        </w:rPr>
        <w:t>2,580.9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，预决算差异率12.77%，差异主要原因是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人员调资，上级拨入就业补助资金增加。</w:t>
      </w:r>
      <w:bookmarkEnd w:id="3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（二）一般公共预算收支决算情况说明</w:t>
      </w:r>
    </w:p>
    <w:p>
      <w:pPr>
        <w:spacing w:line="540" w:lineRule="exact"/>
        <w:ind w:firstLine="640" w:firstLineChars="200"/>
        <w:rPr>
          <w:rFonts w:ascii="仿宋_GB2312" w:eastAsia="仿宋_GB2312"/>
          <w:color w:val="000000" w:themeColor="text1"/>
          <w:sz w:val="32"/>
          <w:szCs w:val="32"/>
        </w:rPr>
      </w:pPr>
      <w:bookmarkStart w:id="34" w:name="OLE_LINK64"/>
      <w:r>
        <w:rPr>
          <w:rFonts w:hint="eastAsia" w:ascii="仿宋_GB2312" w:eastAsia="仿宋_GB2312"/>
          <w:color w:val="000000" w:themeColor="text1"/>
          <w:sz w:val="32"/>
          <w:szCs w:val="32"/>
        </w:rPr>
        <w:t>2018年度</w:t>
      </w:r>
      <w:bookmarkStart w:id="35" w:name="OLE_LINK17"/>
      <w:r>
        <w:rPr>
          <w:rFonts w:hint="eastAsia" w:ascii="仿宋_GB2312" w:eastAsia="仿宋_GB2312"/>
          <w:color w:val="000000" w:themeColor="text1"/>
          <w:sz w:val="32"/>
          <w:szCs w:val="32"/>
        </w:rPr>
        <w:t>一般公共预算财政拨款收入</w:t>
      </w:r>
      <w:bookmarkEnd w:id="35"/>
      <w:r>
        <w:rPr>
          <w:rFonts w:ascii="仿宋_GB2312" w:eastAsia="仿宋_GB2312"/>
          <w:color w:val="000000" w:themeColor="text1"/>
          <w:sz w:val="32"/>
          <w:szCs w:val="32"/>
        </w:rPr>
        <w:t>2,567.6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，与上年相比，增加297.72万元，增长13.12%，增加的主要原因是：人员调资，上级拨入就业补助资金增加。</w:t>
      </w:r>
      <w:bookmarkEnd w:id="34"/>
      <w:bookmarkStart w:id="36" w:name="OLE_LINK18"/>
      <w:bookmarkStart w:id="37" w:name="OLE_LINK65"/>
      <w:r>
        <w:rPr>
          <w:rFonts w:hint="eastAsia" w:ascii="仿宋_GB2312" w:eastAsia="仿宋_GB2312"/>
          <w:color w:val="000000" w:themeColor="text1"/>
          <w:sz w:val="32"/>
          <w:szCs w:val="32"/>
        </w:rPr>
        <w:t>一般公共预算财政拨款支出</w:t>
      </w:r>
      <w:r>
        <w:rPr>
          <w:rFonts w:hint="eastAsia" w:ascii="仿宋_GB2312" w:eastAsia="仿宋_GB2312"/>
          <w:sz w:val="32"/>
          <w:szCs w:val="32"/>
        </w:rPr>
        <w:t>2,580.9</w:t>
      </w:r>
      <w:r>
        <w:rPr>
          <w:rFonts w:hint="eastAsia" w:ascii="仿宋_GB2312" w:eastAsia="仿宋_GB2312"/>
          <w:color w:val="000000" w:themeColor="text1"/>
          <w:sz w:val="32"/>
          <w:szCs w:val="32"/>
        </w:rPr>
        <w:t>万元</w:t>
      </w:r>
      <w:bookmarkEnd w:id="36"/>
      <w:r>
        <w:rPr>
          <w:rFonts w:hint="eastAsia" w:ascii="仿宋_GB2312" w:eastAsia="仿宋_GB2312"/>
          <w:sz w:val="32"/>
          <w:szCs w:val="32"/>
        </w:rPr>
        <w:t>，与上年相比，增加284.32万元，增长12.38%，增加的主要原因是：人员调资，上级拨入就业补助资金增加。</w:t>
      </w:r>
      <w:bookmarkEnd w:id="37"/>
      <w:r>
        <w:rPr>
          <w:rFonts w:hint="eastAsia" w:ascii="仿宋_GB2312" w:eastAsia="仿宋_GB2312"/>
          <w:color w:val="000000" w:themeColor="text1"/>
          <w:sz w:val="32"/>
          <w:szCs w:val="32"/>
        </w:rPr>
        <w:t>其中：</w:t>
      </w:r>
      <w:bookmarkStart w:id="38" w:name="OLE_LINK19"/>
      <w:r>
        <w:rPr>
          <w:rFonts w:hint="eastAsia" w:ascii="仿宋_GB2312" w:eastAsia="仿宋_GB2312"/>
          <w:color w:val="000000" w:themeColor="text1"/>
          <w:sz w:val="32"/>
          <w:szCs w:val="32"/>
        </w:rPr>
        <w:t>按功能分类科目（按类级科目公开）</w:t>
      </w:r>
      <w:bookmarkEnd w:id="38"/>
      <w:r>
        <w:rPr>
          <w:rFonts w:hint="eastAsia" w:ascii="仿宋_GB2312" w:eastAsia="仿宋_GB2312"/>
          <w:color w:val="000000" w:themeColor="text1"/>
          <w:sz w:val="32"/>
          <w:szCs w:val="32"/>
        </w:rPr>
        <w:t>，</w:t>
      </w:r>
      <w:r>
        <w:rPr>
          <w:rFonts w:hint="eastAsia" w:ascii="仿宋_GB2312" w:eastAsia="仿宋_GB2312"/>
          <w:sz w:val="32"/>
          <w:szCs w:val="32"/>
        </w:rPr>
        <w:t>住房保障支出36.61万元,一般公共服务支出601.99万元,农林水支出107.94万元,社会保障和就业支出1,834.35万元。</w:t>
      </w:r>
      <w:bookmarkStart w:id="39" w:name="OLE_LINK20"/>
      <w:bookmarkStart w:id="40" w:name="OLE_LINK21"/>
      <w:r>
        <w:rPr>
          <w:rFonts w:hint="eastAsia" w:ascii="仿宋_GB2312" w:eastAsia="仿宋_GB2312"/>
          <w:color w:val="000000" w:themeColor="text1"/>
          <w:sz w:val="32"/>
          <w:szCs w:val="32"/>
        </w:rPr>
        <w:t>按经济分类科目</w:t>
      </w:r>
      <w:bookmarkEnd w:id="39"/>
      <w:r>
        <w:rPr>
          <w:rFonts w:hint="eastAsia" w:ascii="仿宋_GB2312" w:eastAsia="仿宋_GB2312"/>
          <w:color w:val="000000" w:themeColor="text1"/>
          <w:sz w:val="32"/>
          <w:szCs w:val="32"/>
        </w:rPr>
        <w:t>（按类级科目公开）</w:t>
      </w:r>
      <w:bookmarkEnd w:id="40"/>
      <w:r>
        <w:rPr>
          <w:rFonts w:hint="eastAsia" w:ascii="仿宋_GB2312" w:eastAsia="仿宋_GB2312"/>
          <w:color w:val="000000" w:themeColor="text1"/>
          <w:sz w:val="32"/>
          <w:szCs w:val="32"/>
        </w:rPr>
        <w:t>，</w:t>
      </w:r>
      <w:r>
        <w:rPr>
          <w:rFonts w:hint="eastAsia" w:ascii="仿宋_GB2312" w:eastAsia="仿宋_GB2312"/>
          <w:sz w:val="32"/>
          <w:szCs w:val="32"/>
        </w:rPr>
        <w:t>工资福利支出550.73万元,商品和服务支出561.66万元,对个人和家庭的补助1,468.51万元。</w:t>
      </w:r>
    </w:p>
    <w:p>
      <w:pPr>
        <w:spacing w:line="540" w:lineRule="exact"/>
        <w:ind w:firstLine="640" w:firstLineChars="200"/>
        <w:rPr>
          <w:rFonts w:ascii="仿宋_GB2312" w:eastAsia="仿宋_GB2312"/>
          <w:color w:val="000000" w:themeColor="text1"/>
          <w:sz w:val="32"/>
          <w:szCs w:val="32"/>
        </w:rPr>
      </w:pPr>
      <w:bookmarkStart w:id="41" w:name="OLE_LINK67"/>
      <w:bookmarkStart w:id="42" w:name="OLE_LINK66"/>
      <w:r>
        <w:rPr>
          <w:rFonts w:hint="eastAsia" w:ascii="仿宋_GB2312" w:eastAsia="仿宋_GB2312"/>
          <w:color w:val="000000" w:themeColor="text1"/>
          <w:sz w:val="32"/>
          <w:szCs w:val="32"/>
        </w:rPr>
        <w:t>与年初预算数相比情况：一般公共预算财政拨款收入年初预算数</w:t>
      </w:r>
      <w:r>
        <w:rPr>
          <w:rFonts w:ascii="仿宋_GB2312" w:eastAsia="仿宋_GB2312"/>
          <w:color w:val="000000" w:themeColor="text1"/>
          <w:sz w:val="32"/>
          <w:szCs w:val="32"/>
        </w:rPr>
        <w:t>2,288.64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2,567.6</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，预决算差异率12.19%，差异主要原因是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人员调资，上级拨入就业补助资金增加。</w:t>
      </w:r>
      <w:bookmarkEnd w:id="41"/>
      <w:bookmarkEnd w:id="42"/>
      <w:bookmarkStart w:id="43" w:name="OLE_LINK68"/>
      <w:r>
        <w:rPr>
          <w:rFonts w:hint="eastAsia" w:ascii="仿宋_GB2312" w:eastAsia="仿宋_GB2312"/>
          <w:color w:val="000000" w:themeColor="text1"/>
          <w:sz w:val="32"/>
          <w:szCs w:val="32"/>
        </w:rPr>
        <w:t>一般公共预算财政拨款支出年初预算数</w:t>
      </w:r>
      <w:r>
        <w:rPr>
          <w:rFonts w:ascii="仿宋_GB2312" w:eastAsia="仿宋_GB2312"/>
          <w:color w:val="000000" w:themeColor="text1"/>
          <w:sz w:val="32"/>
          <w:szCs w:val="32"/>
        </w:rPr>
        <w:t>2,288.64</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2,580.9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，预决算差异率12.77%，差异主要原因是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人员调资，上级拨入就业补助资金增加。</w:t>
      </w:r>
      <w:bookmarkEnd w:id="43"/>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（三）政府性基金预算收支决算情况说明</w:t>
      </w:r>
    </w:p>
    <w:p>
      <w:pPr>
        <w:spacing w:line="540" w:lineRule="exact"/>
        <w:ind w:firstLine="640" w:firstLineChars="200"/>
        <w:rPr>
          <w:rFonts w:ascii="仿宋_GB2312" w:eastAsia="仿宋_GB2312"/>
          <w:color w:val="000000" w:themeColor="text1"/>
          <w:sz w:val="32"/>
          <w:szCs w:val="32"/>
        </w:rPr>
      </w:pPr>
      <w:bookmarkStart w:id="44" w:name="OLE_LINK69"/>
      <w:r>
        <w:rPr>
          <w:rFonts w:hint="eastAsia" w:ascii="仿宋_GB2312" w:eastAsia="仿宋_GB2312"/>
          <w:color w:val="000000" w:themeColor="text1"/>
          <w:sz w:val="32"/>
          <w:szCs w:val="32"/>
        </w:rPr>
        <w:t>2018年度</w:t>
      </w:r>
      <w:bookmarkStart w:id="45" w:name="OLE_LINK22"/>
      <w:r>
        <w:rPr>
          <w:rFonts w:hint="eastAsia" w:ascii="仿宋_GB2312" w:eastAsia="仿宋_GB2312"/>
          <w:color w:val="000000" w:themeColor="text1"/>
          <w:sz w:val="32"/>
          <w:szCs w:val="32"/>
        </w:rPr>
        <w:t>政府性基金预算财政拨款收入</w:t>
      </w:r>
      <w:bookmarkEnd w:id="4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，与上年相比无变化，主要原因是：2018年没有使用政府性基金预算拨款安排的支出。</w:t>
      </w:r>
      <w:bookmarkEnd w:id="44"/>
      <w:bookmarkStart w:id="46" w:name="OLE_LINK23"/>
      <w:bookmarkStart w:id="47" w:name="OLE_LINK70"/>
      <w:r>
        <w:rPr>
          <w:rFonts w:hint="eastAsia" w:ascii="仿宋_GB2312" w:eastAsia="仿宋_GB2312"/>
          <w:color w:val="000000" w:themeColor="text1"/>
          <w:sz w:val="32"/>
          <w:szCs w:val="32"/>
        </w:rPr>
        <w:t>政府性基金预算支出</w:t>
      </w:r>
      <w:bookmarkEnd w:id="46"/>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，与上年相比无变化，主要原因是：2018年没有使用政府性基金预算拨款安排的支出。</w:t>
      </w:r>
      <w:bookmarkEnd w:id="47"/>
      <w:r>
        <w:rPr>
          <w:rFonts w:hint="eastAsia" w:ascii="仿宋_GB2312" w:eastAsia="仿宋_GB2312"/>
          <w:color w:val="000000" w:themeColor="text1"/>
          <w:sz w:val="32"/>
          <w:szCs w:val="32"/>
        </w:rPr>
        <w:t>其中：</w:t>
      </w:r>
      <w:bookmarkStart w:id="48" w:name="OLE_LINK24"/>
      <w:r>
        <w:rPr>
          <w:rFonts w:hint="eastAsia" w:ascii="仿宋_GB2312" w:eastAsia="仿宋_GB2312"/>
          <w:color w:val="000000" w:themeColor="text1"/>
          <w:sz w:val="32"/>
          <w:szCs w:val="32"/>
        </w:rPr>
        <w:t>按功能分类科目（按类级科目公开）</w:t>
      </w:r>
      <w:bookmarkEnd w:id="48"/>
      <w:r>
        <w:rPr>
          <w:rFonts w:hint="eastAsia" w:ascii="仿宋_GB2312" w:eastAsia="仿宋_GB2312"/>
          <w:color w:val="000000" w:themeColor="text1"/>
          <w:sz w:val="32"/>
          <w:szCs w:val="32"/>
        </w:rPr>
        <w:t>，无。按经济分类科目（按类级科目公开），无。</w:t>
      </w:r>
    </w:p>
    <w:p>
      <w:pPr>
        <w:spacing w:line="540" w:lineRule="exact"/>
        <w:ind w:firstLine="640" w:firstLineChars="200"/>
        <w:rPr>
          <w:rFonts w:ascii="仿宋_GB2312" w:eastAsia="仿宋_GB2312"/>
          <w:color w:val="000000" w:themeColor="text1"/>
          <w:sz w:val="32"/>
          <w:szCs w:val="32"/>
        </w:rPr>
      </w:pPr>
      <w:bookmarkStart w:id="49" w:name="OLE_LINK71"/>
      <w:bookmarkStart w:id="50" w:name="OLE_LINK72"/>
      <w:r>
        <w:rPr>
          <w:rFonts w:hint="eastAsia" w:ascii="仿宋_GB2312" w:eastAsia="仿宋_GB2312"/>
          <w:color w:val="000000" w:themeColor="text1"/>
          <w:sz w:val="32"/>
          <w:szCs w:val="32"/>
        </w:rPr>
        <w:t>与年初预算数相比情况：政府性基金预算财政拨款收入年初预算数0万元，决算数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2018年没有使用政府性基金预算拨款安排的支出。</w:t>
      </w:r>
      <w:bookmarkEnd w:id="49"/>
      <w:bookmarkEnd w:id="50"/>
      <w:bookmarkStart w:id="51" w:name="OLE_LINK73"/>
      <w:r>
        <w:rPr>
          <w:rFonts w:hint="eastAsia" w:ascii="仿宋_GB2312" w:eastAsia="仿宋_GB2312"/>
          <w:color w:val="000000" w:themeColor="text1"/>
          <w:sz w:val="32"/>
          <w:szCs w:val="32"/>
        </w:rPr>
        <w:t>政府性基金预算财政拨款支出年初预算数0万元，决算数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2018年没有使用政府性基金预算拨款安排的支出。</w:t>
      </w:r>
      <w:bookmarkEnd w:id="51"/>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三、部门结转结余情况</w:t>
      </w:r>
    </w:p>
    <w:p>
      <w:pPr>
        <w:spacing w:line="540" w:lineRule="exact"/>
        <w:ind w:firstLine="640" w:firstLineChars="200"/>
        <w:rPr>
          <w:rFonts w:ascii="仿宋_GB2312" w:eastAsia="仿宋_GB2312"/>
          <w:color w:val="000000" w:themeColor="text1"/>
          <w:sz w:val="32"/>
          <w:szCs w:val="32"/>
        </w:rPr>
      </w:pPr>
      <w:bookmarkStart w:id="52" w:name="OLE_LINK25"/>
      <w:bookmarkStart w:id="53" w:name="OLE_LINK26"/>
      <w:r>
        <w:rPr>
          <w:rFonts w:hint="eastAsia" w:ascii="仿宋_GB2312" w:eastAsia="仿宋_GB2312"/>
          <w:color w:val="000000" w:themeColor="text1"/>
          <w:sz w:val="32"/>
          <w:szCs w:val="32"/>
        </w:rPr>
        <w:t>年末结转结余</w:t>
      </w:r>
      <w:bookmarkEnd w:id="52"/>
      <w:bookmarkEnd w:id="53"/>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。与上年相比，减少13.3万元，下降100%</w:t>
      </w:r>
      <w:r>
        <w:rPr>
          <w:rFonts w:hint="eastAsia" w:ascii="仿宋_GB2312" w:eastAsia="仿宋_GB2312"/>
          <w:color w:val="000000" w:themeColor="text1"/>
          <w:sz w:val="32"/>
          <w:szCs w:val="32"/>
        </w:rPr>
        <w:t>。</w:t>
      </w:r>
    </w:p>
    <w:p>
      <w:pPr>
        <w:spacing w:line="540" w:lineRule="exact"/>
        <w:ind w:firstLine="640" w:firstLineChars="200"/>
        <w:rPr>
          <w:rFonts w:ascii="仿宋_GB2312" w:eastAsia="仿宋_GB2312"/>
          <w:sz w:val="32"/>
          <w:szCs w:val="32"/>
        </w:rPr>
      </w:pPr>
      <w:r>
        <w:rPr>
          <w:rFonts w:hint="eastAsia" w:ascii="仿宋_GB2312" w:eastAsia="仿宋_GB2312"/>
          <w:color w:val="000000" w:themeColor="text1"/>
          <w:sz w:val="32"/>
          <w:szCs w:val="32"/>
        </w:rPr>
        <w:t>其中</w:t>
      </w:r>
      <w:bookmarkStart w:id="54" w:name="OLE_LINK27"/>
      <w:bookmarkStart w:id="55" w:name="OLE_LINK28"/>
      <w:r>
        <w:rPr>
          <w:rFonts w:hint="eastAsia" w:ascii="仿宋_GB2312" w:eastAsia="仿宋_GB2312"/>
          <w:color w:val="000000" w:themeColor="text1"/>
          <w:sz w:val="32"/>
          <w:szCs w:val="32"/>
        </w:rPr>
        <w:t>财政拨款结转结余</w:t>
      </w:r>
      <w:bookmarkEnd w:id="54"/>
      <w:bookmarkEnd w:id="55"/>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。与上年相比，减少13.3万元，下降100%。</w:t>
      </w:r>
    </w:p>
    <w:p>
      <w:pPr>
        <w:spacing w:line="540" w:lineRule="exact"/>
        <w:ind w:firstLine="640" w:firstLineChars="200"/>
        <w:rPr>
          <w:rFonts w:ascii="黑体" w:hAnsi="黑体" w:eastAsia="黑体"/>
          <w:sz w:val="32"/>
          <w:szCs w:val="32"/>
        </w:rPr>
      </w:pPr>
      <w:r>
        <w:rPr>
          <w:rFonts w:hint="eastAsia" w:ascii="黑体" w:hAnsi="黑体" w:eastAsia="黑体"/>
          <w:sz w:val="32"/>
          <w:szCs w:val="32"/>
        </w:rPr>
        <w:t>四、一般公共预算“三公”经费支出情况</w:t>
      </w:r>
    </w:p>
    <w:p>
      <w:pPr>
        <w:spacing w:line="540" w:lineRule="exact"/>
        <w:ind w:firstLine="640" w:firstLineChars="200"/>
        <w:rPr>
          <w:rFonts w:ascii="仿宋_GB2312" w:eastAsia="仿宋_GB2312"/>
          <w:color w:val="000000" w:themeColor="text1"/>
          <w:sz w:val="32"/>
          <w:szCs w:val="32"/>
        </w:rPr>
      </w:pPr>
      <w:bookmarkStart w:id="56" w:name="OLE_LINK74"/>
      <w:r>
        <w:rPr>
          <w:rFonts w:hint="eastAsia" w:ascii="仿宋_GB2312" w:eastAsia="仿宋_GB2312"/>
          <w:color w:val="000000" w:themeColor="text1"/>
          <w:sz w:val="32"/>
          <w:szCs w:val="32"/>
        </w:rPr>
        <w:t>2018年度</w:t>
      </w:r>
      <w:bookmarkStart w:id="57" w:name="OLE_LINK29"/>
      <w:r>
        <w:rPr>
          <w:rFonts w:hint="eastAsia" w:ascii="仿宋_GB2312" w:eastAsia="仿宋_GB2312"/>
          <w:color w:val="000000" w:themeColor="text1"/>
          <w:sz w:val="32"/>
          <w:szCs w:val="32"/>
        </w:rPr>
        <w:t>一般公共预算“三公”经费支出决算</w:t>
      </w:r>
      <w:bookmarkEnd w:id="57"/>
      <w:r>
        <w:rPr>
          <w:rFonts w:hint="eastAsia" w:ascii="仿宋_GB2312" w:eastAsia="仿宋_GB2312"/>
          <w:sz w:val="32"/>
          <w:szCs w:val="32"/>
        </w:rPr>
        <w:t>6.9</w:t>
      </w:r>
      <w:r>
        <w:rPr>
          <w:rFonts w:hint="eastAsia" w:ascii="仿宋_GB2312" w:eastAsia="仿宋_GB2312"/>
          <w:color w:val="000000" w:themeColor="text1"/>
          <w:sz w:val="32"/>
          <w:szCs w:val="32"/>
        </w:rPr>
        <w:t>万元</w:t>
      </w:r>
      <w:r>
        <w:rPr>
          <w:rFonts w:hint="eastAsia" w:ascii="仿宋_GB2312" w:eastAsia="仿宋_GB2312"/>
          <w:sz w:val="32"/>
          <w:szCs w:val="32"/>
        </w:rPr>
        <w:t>，与上年相比，减少3.51万元，下降33.72%，减少的主要原因是：严格压缩三公经费支出。</w:t>
      </w:r>
      <w:bookmarkEnd w:id="56"/>
      <w:bookmarkStart w:id="58" w:name="OLE_LINK75"/>
      <w:r>
        <w:rPr>
          <w:rFonts w:hint="eastAsia" w:ascii="仿宋_GB2312" w:eastAsia="仿宋_GB2312"/>
          <w:color w:val="000000" w:themeColor="text1"/>
          <w:sz w:val="32"/>
          <w:szCs w:val="32"/>
        </w:rPr>
        <w:t>其中，</w:t>
      </w:r>
      <w:bookmarkStart w:id="59" w:name="OLE_LINK30"/>
      <w:r>
        <w:rPr>
          <w:rFonts w:hint="eastAsia" w:ascii="仿宋_GB2312" w:eastAsia="仿宋_GB2312"/>
          <w:color w:val="000000" w:themeColor="text1"/>
          <w:sz w:val="32"/>
          <w:szCs w:val="32"/>
        </w:rPr>
        <w:t>因公出国（境）费支出</w:t>
      </w:r>
      <w:bookmarkEnd w:id="59"/>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0%，与上年相比无变化，主要原因是：单位无因公出国（境）费支出；</w:t>
      </w:r>
      <w:bookmarkEnd w:id="58"/>
      <w:bookmarkStart w:id="60" w:name="OLE_LINK31"/>
      <w:bookmarkStart w:id="61" w:name="OLE_LINK76"/>
      <w:r>
        <w:rPr>
          <w:rFonts w:hint="eastAsia" w:ascii="仿宋_GB2312" w:eastAsia="仿宋_GB2312"/>
          <w:color w:val="000000" w:themeColor="text1"/>
          <w:sz w:val="32"/>
          <w:szCs w:val="32"/>
        </w:rPr>
        <w:t>公务用车购置及运行维护费支出</w:t>
      </w:r>
      <w:bookmarkEnd w:id="60"/>
      <w:r>
        <w:rPr>
          <w:rFonts w:hint="eastAsia" w:ascii="仿宋_GB2312" w:eastAsia="仿宋_GB2312"/>
          <w:sz w:val="32"/>
          <w:szCs w:val="32"/>
        </w:rPr>
        <w:t>6.9</w:t>
      </w:r>
      <w:r>
        <w:rPr>
          <w:rFonts w:hint="eastAsia" w:ascii="仿宋_GB2312" w:eastAsia="仿宋_GB2312"/>
          <w:color w:val="000000" w:themeColor="text1"/>
          <w:sz w:val="32"/>
          <w:szCs w:val="32"/>
        </w:rPr>
        <w:t>万元，占</w:t>
      </w:r>
      <w:r>
        <w:rPr>
          <w:rFonts w:hint="eastAsia" w:ascii="仿宋_GB2312" w:eastAsia="仿宋_GB2312"/>
          <w:sz w:val="32"/>
          <w:szCs w:val="32"/>
        </w:rPr>
        <w:t>100%，与上年相比，减少3.07万元，下降30.79%，减少的主要原因是：严格执行中央八项规定精神，压缩日常公用支出；</w:t>
      </w:r>
      <w:bookmarkEnd w:id="61"/>
      <w:bookmarkStart w:id="62" w:name="OLE_LINK32"/>
      <w:bookmarkStart w:id="63" w:name="OLE_LINK78"/>
      <w:bookmarkStart w:id="64" w:name="OLE_LINK77"/>
      <w:r>
        <w:rPr>
          <w:rFonts w:hint="eastAsia" w:ascii="仿宋_GB2312" w:eastAsia="仿宋_GB2312"/>
          <w:color w:val="000000" w:themeColor="text1"/>
          <w:sz w:val="32"/>
          <w:szCs w:val="32"/>
        </w:rPr>
        <w:t>公务接待费支出</w:t>
      </w:r>
      <w:bookmarkEnd w:id="62"/>
      <w:r>
        <w:rPr>
          <w:rFonts w:hint="eastAsia" w:ascii="仿宋_GB2312" w:eastAsia="仿宋_GB2312"/>
          <w:sz w:val="32"/>
          <w:szCs w:val="32"/>
        </w:rPr>
        <w:t>0</w:t>
      </w:r>
      <w:r>
        <w:rPr>
          <w:rFonts w:hint="eastAsia" w:ascii="仿宋_GB2312" w:eastAsia="仿宋_GB2312"/>
          <w:color w:val="000000" w:themeColor="text1"/>
          <w:sz w:val="32"/>
          <w:szCs w:val="32"/>
        </w:rPr>
        <w:t>万元，占</w:t>
      </w:r>
      <w:r>
        <w:rPr>
          <w:rFonts w:hint="eastAsia" w:ascii="仿宋_GB2312" w:eastAsia="仿宋_GB2312"/>
          <w:sz w:val="32"/>
          <w:szCs w:val="32"/>
        </w:rPr>
        <w:t>0%，与上年相比，减少0.44万元，下降100%，减少的主要原因是：严格执行中央八项规定精神，压缩日常公用支出。</w:t>
      </w:r>
      <w:bookmarkEnd w:id="63"/>
      <w:bookmarkEnd w:id="64"/>
      <w:r>
        <w:rPr>
          <w:rFonts w:hint="eastAsia" w:ascii="仿宋_GB2312" w:eastAsia="仿宋_GB2312"/>
          <w:color w:val="000000" w:themeColor="text1"/>
          <w:sz w:val="32"/>
          <w:szCs w:val="32"/>
        </w:rPr>
        <w:t>具体情况如下：</w:t>
      </w:r>
    </w:p>
    <w:p>
      <w:pPr>
        <w:spacing w:line="540" w:lineRule="exact"/>
        <w:ind w:firstLine="640" w:firstLineChars="200"/>
        <w:rPr>
          <w:rFonts w:ascii="仿宋_GB2312" w:eastAsia="仿宋_GB2312"/>
          <w:color w:val="000000" w:themeColor="text1"/>
          <w:sz w:val="32"/>
          <w:szCs w:val="32"/>
        </w:rPr>
      </w:pPr>
      <w:bookmarkStart w:id="65" w:name="OLE_LINK80"/>
      <w:bookmarkStart w:id="66" w:name="OLE_LINK79"/>
      <w:r>
        <w:rPr>
          <w:rFonts w:hint="eastAsia" w:ascii="仿宋_GB2312" w:eastAsia="仿宋_GB2312"/>
          <w:color w:val="000000" w:themeColor="text1"/>
          <w:sz w:val="32"/>
          <w:szCs w:val="32"/>
        </w:rPr>
        <w:t>因公出国（境）费支出</w:t>
      </w:r>
      <w:r>
        <w:rPr>
          <w:rFonts w:hint="eastAsia" w:ascii="仿宋_GB2312" w:eastAsia="仿宋_GB2312"/>
          <w:sz w:val="32"/>
          <w:szCs w:val="32"/>
        </w:rPr>
        <w:t>0</w:t>
      </w:r>
      <w:r>
        <w:rPr>
          <w:rFonts w:hint="eastAsia" w:ascii="仿宋_GB2312" w:eastAsia="仿宋_GB2312"/>
          <w:color w:val="000000" w:themeColor="text1"/>
          <w:sz w:val="32"/>
          <w:szCs w:val="32"/>
        </w:rPr>
        <w:t>万元。</w:t>
      </w:r>
      <w:r>
        <w:rPr>
          <w:rFonts w:hint="eastAsia" w:ascii="仿宋_GB2312" w:eastAsia="仿宋_GB2312"/>
          <w:sz w:val="32"/>
          <w:szCs w:val="32"/>
        </w:rPr>
        <w:t>新疆喀什地区泽普县人力资源和社会保障局</w:t>
      </w:r>
      <w:r>
        <w:rPr>
          <w:rFonts w:hint="eastAsia" w:ascii="仿宋_GB2312" w:eastAsia="仿宋_GB2312"/>
          <w:color w:val="000000" w:themeColor="text1"/>
          <w:sz w:val="32"/>
          <w:szCs w:val="32"/>
        </w:rPr>
        <w:t>单位</w:t>
      </w:r>
      <w:bookmarkStart w:id="67" w:name="OLE_LINK33"/>
      <w:r>
        <w:rPr>
          <w:rFonts w:hint="eastAsia" w:ascii="仿宋_GB2312" w:eastAsia="仿宋_GB2312"/>
          <w:color w:val="000000" w:themeColor="text1"/>
          <w:sz w:val="32"/>
          <w:szCs w:val="32"/>
        </w:rPr>
        <w:t>全年</w:t>
      </w:r>
      <w:bookmarkStart w:id="68" w:name="OLE_LINK34"/>
      <w:bookmarkStart w:id="69" w:name="OLE_LINK35"/>
      <w:bookmarkStart w:id="70" w:name="OLE_LINK36"/>
      <w:r>
        <w:rPr>
          <w:rFonts w:hint="eastAsia" w:ascii="仿宋_GB2312" w:eastAsia="仿宋_GB2312"/>
          <w:color w:val="000000" w:themeColor="text1"/>
          <w:sz w:val="32"/>
          <w:szCs w:val="32"/>
        </w:rPr>
        <w:t>使用一般公共预算财政拨款安排的出国（境）团组</w:t>
      </w:r>
      <w:bookmarkEnd w:id="67"/>
      <w:bookmarkEnd w:id="68"/>
      <w:bookmarkEnd w:id="69"/>
      <w:r>
        <w:rPr>
          <w:rFonts w:hint="eastAsia" w:ascii="仿宋_GB2312" w:eastAsia="仿宋_GB2312"/>
          <w:sz w:val="32"/>
          <w:szCs w:val="32"/>
        </w:rPr>
        <w:t>0</w:t>
      </w:r>
      <w:r>
        <w:rPr>
          <w:rFonts w:hint="eastAsia" w:ascii="仿宋_GB2312" w:eastAsia="仿宋_GB2312"/>
          <w:color w:val="000000" w:themeColor="text1"/>
          <w:sz w:val="32"/>
          <w:szCs w:val="32"/>
        </w:rPr>
        <w:t>个</w:t>
      </w:r>
      <w:bookmarkEnd w:id="70"/>
      <w:r>
        <w:rPr>
          <w:rFonts w:hint="eastAsia" w:ascii="仿宋_GB2312" w:eastAsia="仿宋_GB2312"/>
          <w:color w:val="000000" w:themeColor="text1"/>
          <w:sz w:val="32"/>
          <w:szCs w:val="32"/>
        </w:rPr>
        <w:t>，</w:t>
      </w:r>
      <w:bookmarkStart w:id="71" w:name="OLE_LINK37"/>
      <w:r>
        <w:rPr>
          <w:rFonts w:hint="eastAsia" w:ascii="仿宋_GB2312" w:eastAsia="仿宋_GB2312"/>
          <w:color w:val="000000" w:themeColor="text1"/>
          <w:sz w:val="32"/>
          <w:szCs w:val="32"/>
        </w:rPr>
        <w:t>累计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1"/>
      <w:r>
        <w:rPr>
          <w:rFonts w:hint="eastAsia" w:ascii="仿宋_GB2312" w:eastAsia="仿宋_GB2312"/>
          <w:color w:val="000000" w:themeColor="text1"/>
          <w:sz w:val="32"/>
          <w:szCs w:val="32"/>
        </w:rPr>
        <w:t>。</w:t>
      </w:r>
      <w:bookmarkStart w:id="72" w:name="OLE_LINK38"/>
      <w:r>
        <w:rPr>
          <w:rFonts w:hint="eastAsia" w:ascii="仿宋_GB2312" w:eastAsia="仿宋_GB2312"/>
          <w:color w:val="000000" w:themeColor="text1"/>
          <w:sz w:val="32"/>
          <w:szCs w:val="32"/>
        </w:rPr>
        <w:t>开支内容包括：</w:t>
      </w:r>
      <w:r>
        <w:rPr>
          <w:rFonts w:ascii="仿宋_GB2312" w:eastAsia="仿宋_GB2312"/>
          <w:color w:val="000000" w:themeColor="text1"/>
          <w:sz w:val="32"/>
          <w:szCs w:val="32"/>
        </w:rPr>
        <w:t>无开支。</w:t>
      </w:r>
      <w:bookmarkEnd w:id="65"/>
      <w:bookmarkEnd w:id="66"/>
      <w:bookmarkEnd w:id="72"/>
    </w:p>
    <w:p>
      <w:pPr>
        <w:spacing w:line="540" w:lineRule="exact"/>
        <w:ind w:firstLine="640" w:firstLineChars="200"/>
        <w:rPr>
          <w:rFonts w:ascii="仿宋_GB2312" w:eastAsia="仿宋_GB2312"/>
          <w:color w:val="000000" w:themeColor="text1"/>
          <w:sz w:val="32"/>
          <w:szCs w:val="32"/>
        </w:rPr>
      </w:pPr>
      <w:bookmarkStart w:id="73" w:name="OLE_LINK81"/>
      <w:r>
        <w:rPr>
          <w:rFonts w:hint="eastAsia" w:ascii="仿宋_GB2312" w:eastAsia="仿宋_GB2312"/>
          <w:color w:val="000000" w:themeColor="text1"/>
          <w:sz w:val="32"/>
          <w:szCs w:val="32"/>
        </w:rPr>
        <w:t>公务用车购置及运行维护费</w:t>
      </w:r>
      <w:r>
        <w:rPr>
          <w:rFonts w:hint="eastAsia" w:ascii="仿宋_GB2312" w:eastAsia="仿宋_GB2312"/>
          <w:sz w:val="32"/>
          <w:szCs w:val="32"/>
        </w:rPr>
        <w:t>6.9</w:t>
      </w:r>
      <w:r>
        <w:rPr>
          <w:rFonts w:hint="eastAsia" w:ascii="仿宋_GB2312" w:eastAsia="仿宋_GB2312"/>
          <w:color w:val="000000" w:themeColor="text1"/>
          <w:sz w:val="32"/>
          <w:szCs w:val="32"/>
        </w:rPr>
        <w:t>万元,其中，</w:t>
      </w:r>
      <w:bookmarkStart w:id="74" w:name="OLE_LINK39"/>
      <w:r>
        <w:rPr>
          <w:rFonts w:hint="eastAsia" w:ascii="仿宋_GB2312" w:eastAsia="仿宋_GB2312"/>
          <w:color w:val="000000" w:themeColor="text1"/>
          <w:sz w:val="32"/>
          <w:szCs w:val="32"/>
        </w:rPr>
        <w:t>公务用车购置</w:t>
      </w:r>
      <w:r>
        <w:rPr>
          <w:rFonts w:hint="eastAsia" w:ascii="仿宋_GB2312" w:eastAsia="仿宋_GB2312"/>
          <w:sz w:val="32"/>
          <w:szCs w:val="32"/>
        </w:rPr>
        <w:t>0</w:t>
      </w:r>
      <w:r>
        <w:rPr>
          <w:rFonts w:hint="eastAsia" w:ascii="仿宋_GB2312" w:eastAsia="仿宋_GB2312"/>
          <w:color w:val="000000" w:themeColor="text1"/>
          <w:sz w:val="32"/>
          <w:szCs w:val="32"/>
        </w:rPr>
        <w:t>万元</w:t>
      </w:r>
      <w:bookmarkEnd w:id="74"/>
      <w:r>
        <w:rPr>
          <w:rFonts w:hint="eastAsia" w:ascii="仿宋_GB2312" w:eastAsia="仿宋_GB2312"/>
          <w:color w:val="000000" w:themeColor="text1"/>
          <w:sz w:val="32"/>
          <w:szCs w:val="32"/>
        </w:rPr>
        <w:t>，</w:t>
      </w:r>
      <w:bookmarkStart w:id="75" w:name="OLE_LINK40"/>
      <w:bookmarkStart w:id="76" w:name="OLE_LINK41"/>
      <w:r>
        <w:rPr>
          <w:rFonts w:hint="eastAsia" w:ascii="仿宋_GB2312" w:eastAsia="仿宋_GB2312"/>
          <w:color w:val="000000" w:themeColor="text1"/>
          <w:sz w:val="32"/>
          <w:szCs w:val="32"/>
        </w:rPr>
        <w:t>公务用车运行维护费</w:t>
      </w:r>
      <w:r>
        <w:rPr>
          <w:rFonts w:hint="eastAsia" w:ascii="仿宋_GB2312" w:eastAsia="仿宋_GB2312"/>
          <w:sz w:val="32"/>
          <w:szCs w:val="32"/>
        </w:rPr>
        <w:t>6.9</w:t>
      </w:r>
      <w:r>
        <w:rPr>
          <w:rFonts w:hint="eastAsia" w:ascii="仿宋_GB2312" w:eastAsia="仿宋_GB2312"/>
          <w:color w:val="000000" w:themeColor="text1"/>
          <w:sz w:val="32"/>
          <w:szCs w:val="32"/>
        </w:rPr>
        <w:t>万元</w:t>
      </w:r>
      <w:bookmarkEnd w:id="75"/>
      <w:bookmarkEnd w:id="76"/>
      <w:r>
        <w:rPr>
          <w:rFonts w:hint="eastAsia" w:ascii="仿宋_GB2312" w:eastAsia="仿宋_GB2312"/>
          <w:color w:val="000000" w:themeColor="text1"/>
          <w:sz w:val="32"/>
          <w:szCs w:val="32"/>
        </w:rPr>
        <w:t>。主要用于</w:t>
      </w:r>
      <w:r>
        <w:rPr>
          <w:rFonts w:hint="eastAsia" w:ascii="仿宋_GB2312" w:eastAsia="仿宋_GB2312"/>
          <w:sz w:val="32"/>
          <w:szCs w:val="32"/>
        </w:rPr>
        <w:t>公车维修，购买车辆保险，车辆加油等费用支出</w:t>
      </w:r>
      <w:r>
        <w:rPr>
          <w:rFonts w:hint="eastAsia" w:ascii="仿宋_GB2312" w:eastAsia="仿宋_GB2312"/>
          <w:color w:val="000000" w:themeColor="text1"/>
          <w:sz w:val="32"/>
          <w:szCs w:val="32"/>
        </w:rPr>
        <w:t>等。</w:t>
      </w:r>
      <w:bookmarkEnd w:id="73"/>
      <w:bookmarkStart w:id="77" w:name="OLE_LINK82"/>
      <w:r>
        <w:rPr>
          <w:rFonts w:hint="eastAsia" w:ascii="仿宋_GB2312" w:eastAsia="仿宋_GB2312"/>
          <w:color w:val="000000" w:themeColor="text1"/>
          <w:sz w:val="32"/>
          <w:szCs w:val="32"/>
        </w:rPr>
        <w:t>单位一般公共财政拨款安排的公务用车购置量</w:t>
      </w:r>
      <w:r>
        <w:rPr>
          <w:rFonts w:hint="eastAsia" w:ascii="仿宋_GB2312" w:eastAsia="仿宋_GB2312"/>
          <w:sz w:val="32"/>
          <w:szCs w:val="32"/>
        </w:rPr>
        <w:t>0</w:t>
      </w:r>
      <w:r>
        <w:rPr>
          <w:rFonts w:hint="eastAsia" w:ascii="仿宋_GB2312" w:eastAsia="仿宋_GB2312"/>
          <w:color w:val="000000" w:themeColor="text1"/>
          <w:sz w:val="32"/>
          <w:szCs w:val="32"/>
        </w:rPr>
        <w:t>辆，保有量为</w:t>
      </w:r>
      <w:r>
        <w:rPr>
          <w:rFonts w:hint="eastAsia" w:ascii="仿宋_GB2312" w:eastAsia="仿宋_GB2312"/>
          <w:sz w:val="32"/>
          <w:szCs w:val="32"/>
        </w:rPr>
        <w:t>4</w:t>
      </w:r>
      <w:r>
        <w:rPr>
          <w:rFonts w:hint="eastAsia" w:ascii="仿宋_GB2312" w:eastAsia="仿宋_GB2312"/>
          <w:color w:val="000000" w:themeColor="text1"/>
          <w:sz w:val="32"/>
          <w:szCs w:val="32"/>
        </w:rPr>
        <w:t>辆。</w:t>
      </w:r>
      <w:bookmarkEnd w:id="77"/>
    </w:p>
    <w:p>
      <w:pPr>
        <w:spacing w:line="540" w:lineRule="exact"/>
        <w:ind w:firstLine="640" w:firstLineChars="200"/>
        <w:rPr>
          <w:rFonts w:ascii="仿宋_GB2312" w:eastAsia="仿宋_GB2312"/>
          <w:color w:val="000000" w:themeColor="text1"/>
          <w:sz w:val="32"/>
          <w:szCs w:val="32"/>
        </w:rPr>
      </w:pPr>
      <w:bookmarkStart w:id="78" w:name="OLE_LINK83"/>
      <w:r>
        <w:rPr>
          <w:rFonts w:hint="eastAsia" w:ascii="仿宋_GB2312" w:eastAsia="仿宋_GB2312"/>
          <w:color w:val="000000" w:themeColor="text1"/>
          <w:sz w:val="32"/>
          <w:szCs w:val="32"/>
        </w:rPr>
        <w:t>公务接待费</w:t>
      </w:r>
      <w:r>
        <w:rPr>
          <w:rFonts w:hint="eastAsia" w:ascii="仿宋_GB2312" w:eastAsia="仿宋_GB2312"/>
          <w:sz w:val="32"/>
          <w:szCs w:val="32"/>
        </w:rPr>
        <w:t>0</w:t>
      </w:r>
      <w:r>
        <w:rPr>
          <w:rFonts w:hint="eastAsia" w:ascii="仿宋_GB2312" w:eastAsia="仿宋_GB2312"/>
          <w:color w:val="000000" w:themeColor="text1"/>
          <w:sz w:val="32"/>
          <w:szCs w:val="32"/>
        </w:rPr>
        <w:t>万元。具体是：国内公务接待支出</w:t>
      </w:r>
      <w:r>
        <w:rPr>
          <w:rFonts w:hint="eastAsia" w:ascii="仿宋_GB2312" w:eastAsia="仿宋_GB2312"/>
          <w:sz w:val="32"/>
          <w:szCs w:val="32"/>
        </w:rPr>
        <w:t>0</w:t>
      </w:r>
      <w:r>
        <w:rPr>
          <w:rFonts w:hint="eastAsia" w:ascii="仿宋_GB2312" w:eastAsia="仿宋_GB2312"/>
          <w:color w:val="000000" w:themeColor="text1"/>
          <w:sz w:val="32"/>
          <w:szCs w:val="32"/>
        </w:rPr>
        <w:t>万元，主要是</w:t>
      </w:r>
      <w:r>
        <w:rPr>
          <w:rFonts w:hint="eastAsia" w:ascii="仿宋_GB2312" w:eastAsia="仿宋_GB2312"/>
          <w:sz w:val="32"/>
          <w:szCs w:val="32"/>
        </w:rPr>
        <w:t>严格执行中央八项规定精神，压缩日常公用支出，无国内公务接待支出</w:t>
      </w:r>
      <w:r>
        <w:rPr>
          <w:rFonts w:hint="eastAsia" w:ascii="仿宋_GB2312" w:eastAsia="仿宋_GB2312"/>
          <w:color w:val="000000" w:themeColor="text1"/>
          <w:sz w:val="32"/>
          <w:szCs w:val="32"/>
        </w:rPr>
        <w:t>等。</w:t>
      </w:r>
      <w:bookmarkEnd w:id="78"/>
      <w:bookmarkStart w:id="79" w:name="OLE_LINK84"/>
      <w:r>
        <w:rPr>
          <w:rFonts w:hint="eastAsia" w:ascii="仿宋_GB2312" w:eastAsia="仿宋_GB2312"/>
          <w:sz w:val="32"/>
          <w:szCs w:val="32"/>
        </w:rPr>
        <w:t>新疆喀什地区泽普县人力资源和社会保障局</w:t>
      </w:r>
      <w:r>
        <w:rPr>
          <w:rFonts w:hint="eastAsia" w:ascii="仿宋_GB2312" w:eastAsia="仿宋_GB2312"/>
          <w:color w:val="000000" w:themeColor="text1"/>
          <w:sz w:val="32"/>
          <w:szCs w:val="32"/>
        </w:rPr>
        <w:t>单位国内公务接待</w:t>
      </w:r>
      <w:r>
        <w:rPr>
          <w:rFonts w:hint="eastAsia" w:ascii="仿宋_GB2312" w:eastAsia="仿宋_GB2312"/>
          <w:sz w:val="32"/>
          <w:szCs w:val="32"/>
        </w:rPr>
        <w:t>0</w:t>
      </w:r>
      <w:r>
        <w:rPr>
          <w:rFonts w:hint="eastAsia" w:ascii="仿宋_GB2312" w:eastAsia="仿宋_GB2312"/>
          <w:color w:val="000000" w:themeColor="text1"/>
          <w:sz w:val="32"/>
          <w:szCs w:val="32"/>
        </w:rPr>
        <w:t>批次，</w:t>
      </w:r>
      <w:r>
        <w:rPr>
          <w:rFonts w:hint="eastAsia" w:ascii="仿宋_GB2312" w:eastAsia="仿宋_GB2312"/>
          <w:sz w:val="32"/>
          <w:szCs w:val="32"/>
        </w:rPr>
        <w:t>0</w:t>
      </w:r>
      <w:r>
        <w:rPr>
          <w:rFonts w:hint="eastAsia" w:ascii="仿宋_GB2312" w:eastAsia="仿宋_GB2312"/>
          <w:color w:val="000000" w:themeColor="text1"/>
          <w:sz w:val="32"/>
          <w:szCs w:val="32"/>
        </w:rPr>
        <w:t>人次。</w:t>
      </w:r>
      <w:bookmarkEnd w:id="79"/>
    </w:p>
    <w:p>
      <w:pPr>
        <w:spacing w:line="540" w:lineRule="exact"/>
        <w:ind w:firstLine="640" w:firstLineChars="200"/>
        <w:rPr>
          <w:rFonts w:ascii="仿宋_GB2312" w:hAnsi="宋体" w:eastAsia="仿宋_GB2312" w:cs="宋体"/>
          <w:color w:val="000000" w:themeColor="text1"/>
          <w:kern w:val="0"/>
          <w:sz w:val="32"/>
          <w:szCs w:val="32"/>
        </w:rPr>
      </w:pPr>
      <w:bookmarkStart w:id="80" w:name="OLE_LINK85"/>
      <w:r>
        <w:rPr>
          <w:rFonts w:hint="eastAsia" w:ascii="仿宋_GB2312" w:eastAsia="仿宋_GB2312"/>
          <w:color w:val="000000" w:themeColor="text1"/>
          <w:sz w:val="32"/>
          <w:szCs w:val="32"/>
        </w:rPr>
        <w:t>与年初预算数相比情况：一般公共预算“三公”经费支出年初预算数</w:t>
      </w:r>
      <w:r>
        <w:rPr>
          <w:rFonts w:ascii="仿宋_GB2312" w:eastAsia="仿宋_GB2312"/>
          <w:color w:val="000000" w:themeColor="text1"/>
          <w:sz w:val="32"/>
          <w:szCs w:val="32"/>
        </w:rPr>
        <w:t>6.9</w:t>
      </w:r>
      <w:r>
        <w:rPr>
          <w:rFonts w:hint="eastAsia" w:ascii="仿宋_GB2312" w:eastAsia="仿宋_GB2312"/>
          <w:color w:val="000000" w:themeColor="text1"/>
          <w:sz w:val="32"/>
          <w:szCs w:val="32"/>
        </w:rPr>
        <w:t>万元，决算数6.9万元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压缩三公经费支出、三公经费严格按照年初预算数执行。</w:t>
      </w:r>
      <w:bookmarkEnd w:id="80"/>
      <w:bookmarkStart w:id="81" w:name="OLE_LINK86"/>
      <w:bookmarkStart w:id="82" w:name="OLE_LINK87"/>
      <w:r>
        <w:rPr>
          <w:rFonts w:hint="eastAsia" w:ascii="仿宋_GB2312" w:hAnsi="宋体" w:eastAsia="仿宋_GB2312" w:cs="宋体"/>
          <w:color w:val="000000" w:themeColor="text1"/>
          <w:kern w:val="0"/>
          <w:sz w:val="32"/>
          <w:szCs w:val="32"/>
        </w:rPr>
        <w:t>其中：因公出国（境）费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无因公出国（境）费支出；</w:t>
      </w:r>
      <w:bookmarkEnd w:id="81"/>
      <w:bookmarkEnd w:id="82"/>
      <w:bookmarkStart w:id="83" w:name="OLE_LINK88"/>
      <w:bookmarkStart w:id="84" w:name="OLE_LINK89"/>
      <w:r>
        <w:rPr>
          <w:rFonts w:hint="eastAsia" w:ascii="仿宋_GB2312" w:hAnsi="宋体" w:eastAsia="仿宋_GB2312" w:cs="宋体"/>
          <w:color w:val="000000" w:themeColor="text1"/>
          <w:kern w:val="0"/>
          <w:sz w:val="32"/>
          <w:szCs w:val="32"/>
        </w:rPr>
        <w:t>公务用车购置</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无公务用车购置预算；</w:t>
      </w:r>
      <w:bookmarkEnd w:id="83"/>
      <w:bookmarkEnd w:id="84"/>
      <w:bookmarkStart w:id="85" w:name="OLE_LINK90"/>
      <w:r>
        <w:rPr>
          <w:rFonts w:hint="eastAsia" w:ascii="仿宋_GB2312" w:hAnsi="宋体" w:eastAsia="仿宋_GB2312" w:cs="宋体"/>
          <w:color w:val="000000" w:themeColor="text1"/>
          <w:kern w:val="0"/>
          <w:sz w:val="32"/>
          <w:szCs w:val="32"/>
        </w:rPr>
        <w:t>公务用车运行费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6.9</w:t>
      </w:r>
      <w:r>
        <w:rPr>
          <w:rFonts w:hint="eastAsia" w:ascii="仿宋_GB2312" w:eastAsia="仿宋_GB2312"/>
          <w:color w:val="000000" w:themeColor="text1"/>
          <w:sz w:val="32"/>
          <w:szCs w:val="32"/>
        </w:rPr>
        <w:t>万元，决算数</w:t>
      </w:r>
      <w:r>
        <w:rPr>
          <w:rFonts w:ascii="仿宋_GB2312" w:eastAsia="仿宋_GB2312"/>
          <w:color w:val="000000" w:themeColor="text1"/>
          <w:sz w:val="32"/>
          <w:szCs w:val="32"/>
        </w:rPr>
        <w:t>6.9</w:t>
      </w:r>
      <w:r>
        <w:rPr>
          <w:rFonts w:hint="eastAsia" w:ascii="仿宋_GB2312" w:eastAsia="仿宋_GB2312"/>
          <w:color w:val="000000" w:themeColor="text1"/>
          <w:sz w:val="32"/>
          <w:szCs w:val="32"/>
        </w:rPr>
        <w:t>万元</w:t>
      </w:r>
      <w:r>
        <w:rPr>
          <w:rFonts w:ascii="仿宋_GB2312" w:eastAsia="仿宋_GB2312"/>
          <w:color w:val="000000" w:themeColor="text1"/>
          <w:sz w:val="32"/>
          <w:szCs w:val="32"/>
        </w:rPr>
        <w:t>，预决算差异率0%，差异主要原因是</w:t>
      </w:r>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严格压缩三公经费支出，确保公务用车运行费支出不超过年初预算数；</w:t>
      </w:r>
      <w:bookmarkEnd w:id="85"/>
      <w:bookmarkStart w:id="86" w:name="OLE_LINK91"/>
      <w:r>
        <w:rPr>
          <w:rFonts w:hint="eastAsia" w:ascii="仿宋_GB2312" w:hAnsi="宋体" w:eastAsia="仿宋_GB2312" w:cs="宋体"/>
          <w:color w:val="000000" w:themeColor="text1"/>
          <w:kern w:val="0"/>
          <w:sz w:val="32"/>
          <w:szCs w:val="32"/>
        </w:rPr>
        <w:t>公务接待费</w:t>
      </w:r>
      <w:r>
        <w:rPr>
          <w:rFonts w:hint="eastAsia" w:ascii="仿宋_GB2312" w:eastAsia="仿宋_GB2312"/>
          <w:color w:val="000000" w:themeColor="text1"/>
          <w:sz w:val="32"/>
          <w:szCs w:val="32"/>
        </w:rPr>
        <w:t>预算数</w:t>
      </w:r>
      <w:r>
        <w:rPr>
          <w:rFonts w:ascii="仿宋_GB2312" w:eastAsia="仿宋_GB2312"/>
          <w:color w:val="000000" w:themeColor="text1"/>
          <w:sz w:val="32"/>
          <w:szCs w:val="32"/>
        </w:rPr>
        <w:t>0</w:t>
      </w:r>
      <w:r>
        <w:rPr>
          <w:rFonts w:hint="eastAsia" w:ascii="仿宋_GB2312" w:eastAsia="仿宋_GB2312"/>
          <w:color w:val="000000" w:themeColor="text1"/>
          <w:sz w:val="32"/>
          <w:szCs w:val="32"/>
        </w:rPr>
        <w:t>万元，决算数0万元</w:t>
      </w:r>
      <w:r>
        <w:rPr>
          <w:rFonts w:ascii="仿宋_GB2312" w:eastAsia="仿宋_GB2312"/>
          <w:color w:val="000000" w:themeColor="text1"/>
          <w:sz w:val="32"/>
          <w:szCs w:val="32"/>
        </w:rPr>
        <w:t>，预决算差异率0%，差异主要原因是</w:t>
      </w:r>
      <w:bookmarkEnd w:id="86"/>
      <w:r>
        <w:rPr>
          <w:rFonts w:hint="eastAsia" w:ascii="仿宋_GB2312" w:eastAsia="仿宋_GB2312"/>
          <w:color w:val="000000" w:themeColor="text1"/>
          <w:sz w:val="32"/>
          <w:szCs w:val="32"/>
          <w:lang w:val="en-US" w:eastAsia="zh-CN"/>
        </w:rPr>
        <w:t>:</w:t>
      </w:r>
      <w:r>
        <w:rPr>
          <w:rFonts w:ascii="仿宋_GB2312" w:eastAsia="仿宋_GB2312"/>
          <w:color w:val="000000" w:themeColor="text1"/>
          <w:sz w:val="32"/>
          <w:szCs w:val="32"/>
        </w:rPr>
        <w:t>严格执行中央八项规定精神，压缩日常公用支出。</w:t>
      </w:r>
      <w:bookmarkStart w:id="92" w:name="_GoBack"/>
      <w:bookmarkEnd w:id="92"/>
    </w:p>
    <w:p>
      <w:pPr>
        <w:spacing w:line="540" w:lineRule="exact"/>
        <w:ind w:firstLine="640" w:firstLineChars="200"/>
        <w:rPr>
          <w:rFonts w:ascii="黑体" w:hAnsi="黑体" w:eastAsia="黑体"/>
          <w:sz w:val="32"/>
          <w:szCs w:val="32"/>
        </w:rPr>
      </w:pPr>
      <w:r>
        <w:rPr>
          <w:rFonts w:hint="eastAsia" w:ascii="黑体" w:hAnsi="黑体" w:eastAsia="黑体"/>
          <w:sz w:val="32"/>
          <w:szCs w:val="32"/>
        </w:rPr>
        <w:t>五、机关运行经费支出情况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新疆喀什地区泽普县人力资源和社会保障局机关运行经费支出65.14万元，与上年相比，增加17.96万元，增长38.07%，增加的主要原因是：2018年度泽普县人力资源和社会保障局（行政单位和参照公务员法管理事业单位）机关运行经费支出65.14万元，比上年增加17.96万元，增长38.07%，主要原因是我县赴内地大学生差旅费增加。</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六、政府采购情况</w:t>
      </w:r>
    </w:p>
    <w:p>
      <w:pPr>
        <w:spacing w:line="540" w:lineRule="exact"/>
        <w:ind w:firstLine="640" w:firstLineChars="200"/>
        <w:rPr>
          <w:rFonts w:ascii="仿宋_GB2312" w:eastAsia="仿宋_GB2312"/>
          <w:color w:val="000000" w:themeColor="text1"/>
          <w:sz w:val="32"/>
          <w:szCs w:val="32"/>
        </w:rPr>
      </w:pPr>
      <w:r>
        <w:rPr>
          <w:rFonts w:hint="eastAsia" w:ascii="仿宋_GB2312" w:eastAsia="仿宋_GB2312"/>
          <w:color w:val="000000" w:themeColor="text1"/>
          <w:sz w:val="32"/>
          <w:szCs w:val="32"/>
        </w:rPr>
        <w:t>2018年度</w:t>
      </w:r>
      <w:bookmarkStart w:id="87" w:name="OLE_LINK45"/>
      <w:r>
        <w:rPr>
          <w:rFonts w:hint="eastAsia" w:ascii="仿宋_GB2312" w:eastAsia="仿宋_GB2312"/>
          <w:color w:val="000000" w:themeColor="text1"/>
          <w:sz w:val="32"/>
          <w:szCs w:val="32"/>
        </w:rPr>
        <w:t>政府采购支出总额</w:t>
      </w:r>
      <w:bookmarkEnd w:id="87"/>
      <w:r>
        <w:rPr>
          <w:rFonts w:hint="eastAsia" w:ascii="仿宋_GB2312" w:eastAsia="仿宋_GB2312"/>
          <w:sz w:val="32"/>
          <w:szCs w:val="32"/>
        </w:rPr>
        <w:t>164.37</w:t>
      </w:r>
      <w:r>
        <w:rPr>
          <w:rFonts w:hint="eastAsia" w:ascii="仿宋_GB2312" w:eastAsia="仿宋_GB2312"/>
          <w:color w:val="000000" w:themeColor="text1"/>
          <w:sz w:val="32"/>
          <w:szCs w:val="32"/>
        </w:rPr>
        <w:t>万元，其中：</w:t>
      </w:r>
      <w:bookmarkStart w:id="88" w:name="OLE_LINK46"/>
      <w:r>
        <w:rPr>
          <w:rFonts w:hint="eastAsia" w:ascii="仿宋_GB2312" w:eastAsia="仿宋_GB2312"/>
          <w:color w:val="000000" w:themeColor="text1"/>
          <w:sz w:val="32"/>
          <w:szCs w:val="32"/>
        </w:rPr>
        <w:t>政府采购货物支出</w:t>
      </w:r>
      <w:bookmarkEnd w:id="88"/>
      <w:r>
        <w:rPr>
          <w:rFonts w:hint="eastAsia" w:ascii="仿宋_GB2312" w:eastAsia="仿宋_GB2312"/>
          <w:sz w:val="32"/>
          <w:szCs w:val="32"/>
        </w:rPr>
        <w:t>48.84</w:t>
      </w:r>
      <w:r>
        <w:rPr>
          <w:rFonts w:hint="eastAsia" w:ascii="仿宋_GB2312" w:eastAsia="仿宋_GB2312"/>
          <w:color w:val="000000" w:themeColor="text1"/>
          <w:sz w:val="32"/>
          <w:szCs w:val="32"/>
        </w:rPr>
        <w:t>万元、</w:t>
      </w:r>
      <w:bookmarkStart w:id="89" w:name="OLE_LINK47"/>
      <w:r>
        <w:rPr>
          <w:rFonts w:hint="eastAsia" w:ascii="仿宋_GB2312" w:eastAsia="仿宋_GB2312"/>
          <w:color w:val="000000" w:themeColor="text1"/>
          <w:sz w:val="32"/>
          <w:szCs w:val="32"/>
        </w:rPr>
        <w:t>政府采购工程支出</w:t>
      </w:r>
      <w:bookmarkEnd w:id="89"/>
      <w:r>
        <w:rPr>
          <w:rFonts w:hint="eastAsia" w:ascii="仿宋_GB2312" w:eastAsia="仿宋_GB2312"/>
          <w:sz w:val="32"/>
          <w:szCs w:val="32"/>
        </w:rPr>
        <w:t>0</w:t>
      </w:r>
      <w:r>
        <w:rPr>
          <w:rFonts w:hint="eastAsia" w:ascii="仿宋_GB2312" w:eastAsia="仿宋_GB2312"/>
          <w:color w:val="000000" w:themeColor="text1"/>
          <w:sz w:val="32"/>
          <w:szCs w:val="32"/>
        </w:rPr>
        <w:t>万元、</w:t>
      </w:r>
      <w:bookmarkStart w:id="90" w:name="OLE_LINK48"/>
      <w:r>
        <w:rPr>
          <w:rFonts w:hint="eastAsia" w:ascii="仿宋_GB2312" w:eastAsia="仿宋_GB2312"/>
          <w:color w:val="000000" w:themeColor="text1"/>
          <w:sz w:val="32"/>
          <w:szCs w:val="32"/>
        </w:rPr>
        <w:t>政府采购服务支出</w:t>
      </w:r>
      <w:bookmarkEnd w:id="90"/>
      <w:r>
        <w:rPr>
          <w:rFonts w:hint="eastAsia" w:ascii="仿宋_GB2312" w:eastAsia="仿宋_GB2312"/>
          <w:sz w:val="32"/>
          <w:szCs w:val="32"/>
        </w:rPr>
        <w:t>115.53</w:t>
      </w:r>
      <w:r>
        <w:rPr>
          <w:rFonts w:hint="eastAsia" w:ascii="仿宋_GB2312" w:eastAsia="仿宋_GB2312"/>
          <w:color w:val="000000" w:themeColor="text1"/>
          <w:sz w:val="32"/>
          <w:szCs w:val="32"/>
        </w:rPr>
        <w:t>万元。</w:t>
      </w:r>
    </w:p>
    <w:p>
      <w:pPr>
        <w:spacing w:line="540" w:lineRule="exact"/>
        <w:ind w:firstLine="640" w:firstLineChars="200"/>
        <w:rPr>
          <w:rFonts w:ascii="黑体" w:hAnsi="黑体" w:eastAsia="黑体"/>
          <w:color w:val="000000" w:themeColor="text1"/>
          <w:sz w:val="32"/>
          <w:szCs w:val="32"/>
        </w:rPr>
      </w:pPr>
      <w:r>
        <w:rPr>
          <w:rFonts w:hint="eastAsia" w:ascii="黑体" w:hAnsi="黑体" w:eastAsia="黑体"/>
          <w:color w:val="000000" w:themeColor="text1"/>
          <w:sz w:val="32"/>
          <w:szCs w:val="32"/>
        </w:rPr>
        <w:t>七、其他重要事项的情况</w:t>
      </w:r>
    </w:p>
    <w:p>
      <w:pPr>
        <w:spacing w:line="540" w:lineRule="exact"/>
        <w:ind w:firstLine="643" w:firstLineChars="200"/>
        <w:rPr>
          <w:rFonts w:ascii="楷体_GB2312" w:eastAsia="楷体_GB2312"/>
          <w:b/>
          <w:bCs/>
          <w:color w:val="000000" w:themeColor="text1"/>
          <w:sz w:val="32"/>
          <w:szCs w:val="32"/>
        </w:rPr>
      </w:pPr>
      <w:r>
        <w:rPr>
          <w:rFonts w:hint="eastAsia" w:ascii="楷体_GB2312" w:eastAsia="楷体_GB2312"/>
          <w:b/>
          <w:bCs/>
          <w:color w:val="000000" w:themeColor="text1"/>
          <w:sz w:val="32"/>
          <w:szCs w:val="32"/>
        </w:rPr>
        <w:t>（一）国有资产占用情况说明</w:t>
      </w:r>
    </w:p>
    <w:p>
      <w:pPr>
        <w:spacing w:line="540" w:lineRule="exact"/>
        <w:ind w:firstLine="640" w:firstLineChars="200"/>
        <w:rPr>
          <w:rFonts w:ascii="仿宋_GB2312" w:eastAsia="仿宋_GB2312"/>
          <w:color w:val="000000" w:themeColor="text1"/>
          <w:sz w:val="32"/>
          <w:szCs w:val="32"/>
        </w:rPr>
      </w:pPr>
      <w:bookmarkStart w:id="91" w:name="OLE_LINK97"/>
      <w:r>
        <w:rPr>
          <w:rFonts w:hint="eastAsia" w:ascii="仿宋_GB2312" w:eastAsia="仿宋_GB2312"/>
          <w:color w:val="000000" w:themeColor="text1"/>
          <w:sz w:val="32"/>
          <w:szCs w:val="32"/>
        </w:rPr>
        <w:t>截至2018年12月31日，单位共有车辆</w:t>
      </w:r>
      <w:r>
        <w:rPr>
          <w:rFonts w:hint="eastAsia" w:ascii="仿宋_GB2312" w:eastAsia="仿宋_GB2312"/>
          <w:sz w:val="32"/>
          <w:szCs w:val="32"/>
        </w:rPr>
        <w:t>4</w:t>
      </w:r>
      <w:r>
        <w:rPr>
          <w:rFonts w:hint="eastAsia" w:ascii="仿宋_GB2312" w:eastAsia="仿宋_GB2312"/>
          <w:color w:val="000000" w:themeColor="text1"/>
          <w:sz w:val="32"/>
          <w:szCs w:val="32"/>
        </w:rPr>
        <w:t>辆，价值</w:t>
      </w:r>
      <w:r>
        <w:rPr>
          <w:rFonts w:hint="eastAsia" w:ascii="仿宋_GB2312" w:eastAsia="仿宋_GB2312"/>
          <w:sz w:val="32"/>
          <w:szCs w:val="32"/>
        </w:rPr>
        <w:t>46.55</w:t>
      </w:r>
      <w:r>
        <w:rPr>
          <w:rFonts w:hint="eastAsia" w:ascii="仿宋_GB2312" w:eastAsia="仿宋_GB2312"/>
          <w:color w:val="000000" w:themeColor="text1"/>
          <w:sz w:val="32"/>
          <w:szCs w:val="32"/>
        </w:rPr>
        <w:t>万元，其中：部级领导干部用车</w:t>
      </w:r>
      <w:r>
        <w:rPr>
          <w:rFonts w:hint="eastAsia" w:ascii="仿宋_GB2312" w:eastAsia="仿宋_GB2312"/>
          <w:sz w:val="32"/>
          <w:szCs w:val="32"/>
        </w:rPr>
        <w:t>0</w:t>
      </w:r>
      <w:r>
        <w:rPr>
          <w:rFonts w:hint="eastAsia" w:ascii="仿宋_GB2312" w:eastAsia="仿宋_GB2312"/>
          <w:color w:val="000000" w:themeColor="text1"/>
          <w:sz w:val="32"/>
          <w:szCs w:val="32"/>
        </w:rPr>
        <w:t>辆、主要领导干部用车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辆、机要通信用车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辆、应急保障用车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辆、执法执勤用车</w:t>
      </w:r>
      <w:r>
        <w:rPr>
          <w:rFonts w:hint="eastAsia" w:ascii="仿宋_GB2312" w:eastAsia="仿宋_GB2312"/>
          <w:sz w:val="32"/>
          <w:szCs w:val="32"/>
        </w:rPr>
        <w:t>1</w:t>
      </w:r>
      <w:r>
        <w:rPr>
          <w:rFonts w:hint="eastAsia" w:ascii="仿宋_GB2312" w:eastAsia="仿宋_GB2312"/>
          <w:color w:val="000000" w:themeColor="text1"/>
          <w:sz w:val="32"/>
          <w:szCs w:val="32"/>
        </w:rPr>
        <w:t>辆、特种专业技术用车</w:t>
      </w:r>
      <w:r>
        <w:rPr>
          <w:rFonts w:hint="eastAsia" w:ascii="仿宋_GB2312" w:eastAsia="仿宋_GB2312"/>
          <w:sz w:val="32"/>
          <w:szCs w:val="32"/>
        </w:rPr>
        <w:t>0</w:t>
      </w:r>
      <w:r>
        <w:rPr>
          <w:rFonts w:hint="eastAsia" w:ascii="仿宋_GB2312" w:eastAsia="仿宋_GB2312"/>
          <w:color w:val="000000" w:themeColor="text1"/>
          <w:sz w:val="32"/>
          <w:szCs w:val="32"/>
        </w:rPr>
        <w:t>辆、离退休干部用车</w:t>
      </w:r>
      <w:r>
        <w:rPr>
          <w:rFonts w:ascii="仿宋_GB2312" w:eastAsia="仿宋_GB2312"/>
          <w:color w:val="000000" w:themeColor="text1"/>
          <w:sz w:val="32"/>
          <w:szCs w:val="32"/>
        </w:rPr>
        <w:t>0</w:t>
      </w:r>
      <w:r>
        <w:rPr>
          <w:rFonts w:hint="eastAsia" w:ascii="仿宋_GB2312" w:eastAsia="仿宋_GB2312"/>
          <w:color w:val="000000" w:themeColor="text1"/>
          <w:sz w:val="32"/>
          <w:szCs w:val="32"/>
        </w:rPr>
        <w:t>辆、其他用车</w:t>
      </w:r>
      <w:r>
        <w:rPr>
          <w:rFonts w:ascii="仿宋_GB2312" w:eastAsia="仿宋_GB2312"/>
          <w:color w:val="000000" w:themeColor="text1"/>
          <w:sz w:val="32"/>
          <w:szCs w:val="32"/>
        </w:rPr>
        <w:t>3</w:t>
      </w:r>
      <w:r>
        <w:rPr>
          <w:rFonts w:hint="eastAsia" w:ascii="仿宋_GB2312" w:eastAsia="仿宋_GB2312"/>
          <w:color w:val="000000" w:themeColor="text1"/>
          <w:sz w:val="32"/>
          <w:szCs w:val="32"/>
        </w:rPr>
        <w:t>辆，其他用车主要是：</w:t>
      </w:r>
      <w:r>
        <w:rPr>
          <w:rFonts w:ascii="仿宋_GB2312" w:eastAsia="仿宋_GB2312"/>
          <w:color w:val="000000" w:themeColor="text1"/>
          <w:sz w:val="32"/>
          <w:szCs w:val="32"/>
        </w:rPr>
        <w:t>人事、培训、就业相关工作业务用车；单位价值50万元以上通用设备0台（套）、单位价值100万元以上专用设备0台（套；</w:t>
      </w:r>
      <w:r>
        <w:rPr>
          <w:rFonts w:hint="eastAsia" w:ascii="仿宋_GB2312" w:eastAsia="仿宋_GB2312"/>
          <w:color w:val="000000" w:themeColor="text1"/>
          <w:sz w:val="32"/>
          <w:szCs w:val="32"/>
        </w:rPr>
        <w:t>单位价值50万元以上通用设备</w:t>
      </w:r>
      <w:r>
        <w:rPr>
          <w:rFonts w:hint="eastAsia" w:ascii="仿宋_GB2312" w:eastAsia="仿宋_GB2312"/>
          <w:sz w:val="32"/>
          <w:szCs w:val="32"/>
        </w:rPr>
        <w:t>0</w:t>
      </w:r>
      <w:r>
        <w:rPr>
          <w:rFonts w:hint="eastAsia" w:ascii="仿宋_GB2312" w:eastAsia="仿宋_GB2312"/>
          <w:color w:val="000000" w:themeColor="text1"/>
          <w:sz w:val="32"/>
          <w:szCs w:val="32"/>
        </w:rPr>
        <w:t>台（套）、单位价值100万元以上专用设备</w:t>
      </w:r>
      <w:r>
        <w:rPr>
          <w:rFonts w:hint="eastAsia" w:ascii="仿宋_GB2312" w:eastAsia="仿宋_GB2312"/>
          <w:sz w:val="32"/>
          <w:szCs w:val="32"/>
        </w:rPr>
        <w:t>0</w:t>
      </w:r>
      <w:r>
        <w:rPr>
          <w:rFonts w:hint="eastAsia" w:ascii="仿宋_GB2312" w:eastAsia="仿宋_GB2312"/>
          <w:color w:val="000000" w:themeColor="text1"/>
          <w:sz w:val="32"/>
          <w:szCs w:val="32"/>
        </w:rPr>
        <w:t>台（套）。</w:t>
      </w:r>
      <w:bookmarkEnd w:id="91"/>
    </w:p>
    <w:p>
      <w:pPr>
        <w:spacing w:line="540" w:lineRule="exact"/>
        <w:ind w:firstLine="643" w:firstLineChars="200"/>
        <w:rPr>
          <w:rFonts w:ascii="楷体_GB2312" w:eastAsia="楷体_GB2312"/>
          <w:b/>
          <w:bCs/>
          <w:sz w:val="32"/>
          <w:szCs w:val="32"/>
        </w:rPr>
      </w:pPr>
      <w:r>
        <w:rPr>
          <w:rFonts w:hint="eastAsia" w:ascii="楷体_GB2312" w:eastAsia="楷体_GB2312"/>
          <w:b/>
          <w:bCs/>
          <w:sz w:val="32"/>
          <w:szCs w:val="32"/>
        </w:rPr>
        <w:t>（二）预算绩效情况的说明</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2018年度，本部门单位预算绩效自评情况：</w:t>
      </w:r>
      <w:r>
        <w:rPr>
          <w:rFonts w:ascii="仿宋_GB2312" w:eastAsia="仿宋_GB2312"/>
          <w:sz w:val="32"/>
          <w:szCs w:val="32"/>
        </w:rPr>
        <w:t>单位严格按照预算绩效管理和绩效自评工作要求开展工作，项目实施过程中，每一个项目责任到人，保障项目的顺利实施。项目的实施遵守相关法律法规和业务管理规定，项目资料齐全并及时归档。单位主要领导及分管领导不定期对项目进度情况进行督导检查，对检查过程中发现的问题及时督促整改，确保了项目按时保质完成。</w:t>
      </w:r>
    </w:p>
    <w:p>
      <w:pPr>
        <w:spacing w:line="540" w:lineRule="exact"/>
        <w:ind w:left="-1" w:right="-1" w:firstLine="646"/>
        <w:jc w:val="left"/>
      </w:pPr>
      <w:r>
        <w:rPr>
          <w:rFonts w:ascii="仿宋_GB2312" w:hAnsi="仿宋_GB2312" w:eastAsia="仿宋_GB2312" w:cs="仿宋_GB2312"/>
          <w:sz w:val="32"/>
        </w:rPr>
        <w:t>1、军队转业干部安置生活补助项目绩效自评综述：根据年初设定的绩效目标，该项目绩效自评得分为97分。项目全年预算数为97.91万元，执行数为97.91万元，完成预算的100%。主要产出和效果：1、缴纳自主择业军队转业干部“两费”、公务员医疗补助及独生的人数87人。2、87名自主择业军转干部医疗得到保障。发现的问题及原因：无。下一步改进措施</w:t>
      </w:r>
      <w:r>
        <w:rPr>
          <w:rFonts w:hint="eastAsia" w:ascii="仿宋_GB2312" w:hAnsi="仿宋_GB2312" w:eastAsia="仿宋_GB2312" w:cs="仿宋_GB2312"/>
          <w:sz w:val="32"/>
        </w:rPr>
        <w:t>：</w:t>
      </w:r>
      <w:r>
        <w:rPr>
          <w:rFonts w:ascii="仿宋_GB2312" w:hAnsi="仿宋_GB2312" w:eastAsia="仿宋_GB2312" w:cs="仿宋_GB2312"/>
          <w:sz w:val="32"/>
        </w:rPr>
        <w:t>无。</w:t>
      </w:r>
    </w:p>
    <w:p>
      <w:pPr>
        <w:spacing w:line="540" w:lineRule="exact"/>
        <w:ind w:left="-1" w:right="-1" w:firstLine="646"/>
        <w:jc w:val="left"/>
      </w:pPr>
      <w:r>
        <w:rPr>
          <w:rFonts w:ascii="仿宋_GB2312" w:hAnsi="仿宋_GB2312" w:eastAsia="仿宋_GB2312" w:cs="仿宋_GB2312"/>
          <w:sz w:val="32"/>
        </w:rPr>
        <w:t>2、就业补助资金项目绩效自评综述：根据年初设定的绩效目标，该项目绩效自评得分为96分。项目全年预算数为1,751.07万元，执行数为1,751.07万元，完成预算的100%。主要产出和效果：1、享受职业补贴人员2237人。2、享受社会保险补贴人员1051人。3、享受就业见习补贴人员159人。4、城镇新增就业人数5433人。4、年末城镇登记失业率3.65%。5、年末高校毕业生总体就业率88%。6、就业困难人员就业人数325人。7、年末城乡富余劳动力转移人数42262人。发现的问题及原因：无。下一步改进措施：无。</w:t>
      </w:r>
    </w:p>
    <w:p>
      <w:pPr>
        <w:spacing w:line="540" w:lineRule="exact"/>
        <w:ind w:left="-1" w:right="-1" w:firstLine="646"/>
        <w:jc w:val="left"/>
      </w:pPr>
      <w:r>
        <w:rPr>
          <w:rFonts w:ascii="仿宋_GB2312" w:hAnsi="仿宋_GB2312" w:eastAsia="仿宋_GB2312" w:cs="仿宋_GB2312"/>
          <w:sz w:val="32"/>
        </w:rPr>
        <w:t>3、就业培训项目绩效自评综述：根据年初设定的绩效目标，该项目绩效自评得分为96分。项目全年预算数为107.94万元，执行数为107.94万元，完成预算的100%。主要产出和效果：1、2016名贫困家庭子女免费参加实用技术培训。2、485名困难家庭子女免费参加劳动力转移培训。发现的问题及原因：无。下一步改进措施： 无。</w:t>
      </w:r>
    </w:p>
    <w:p>
      <w:pPr>
        <w:spacing w:line="540" w:lineRule="exact"/>
        <w:ind w:left="-1" w:right="-1" w:firstLine="646"/>
        <w:jc w:val="left"/>
      </w:pPr>
      <w:r>
        <w:rPr>
          <w:rFonts w:ascii="仿宋_GB2312" w:hAnsi="仿宋_GB2312" w:eastAsia="仿宋_GB2312" w:cs="仿宋_GB2312"/>
          <w:sz w:val="32"/>
        </w:rPr>
        <w:t>4、城乡居民基本养老保险工作补助经费项目绩效自评综述：根据年初设定的绩效目标，该项目绩效自评得分为95分。项目全年预算数为1万元，执行数为1万元，完成预算的100%。主要产出和效果：1、城乡居民养老保险续保缴费续保率95%以上。2、符合条件到年龄人员待遇发放率100%。发现的问题及原因：无。下一步改进措施：无。</w:t>
      </w:r>
    </w:p>
    <w:p>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exact"/>
        <w:ind w:firstLine="646"/>
        <w:jc w:val="left"/>
        <w:rPr>
          <w:rFonts w:ascii="仿宋_GB2312" w:eastAsia="仿宋_GB2312"/>
          <w:sz w:val="32"/>
          <w:szCs w:val="32"/>
        </w:rPr>
      </w:pPr>
      <w:r>
        <w:rPr>
          <w:rFonts w:hint="eastAsia" w:ascii="仿宋_GB2312" w:eastAsia="仿宋_GB2312"/>
          <w:sz w:val="32"/>
          <w:szCs w:val="32"/>
        </w:rPr>
        <w:t>有关项目自评情况可附项目支出绩效自评表。</w:t>
      </w:r>
    </w:p>
    <w:p>
      <w:pPr>
        <w:spacing w:line="540" w:lineRule="exact"/>
        <w:jc w:val="center"/>
        <w:rPr>
          <w:rFonts w:ascii="黑体" w:hAnsi="黑体" w:eastAsia="黑体"/>
          <w:sz w:val="32"/>
          <w:szCs w:val="32"/>
        </w:rPr>
      </w:pPr>
      <w:r>
        <w:rPr>
          <w:rFonts w:hint="eastAsia" w:ascii="黑体" w:hAnsi="黑体" w:eastAsia="黑体"/>
          <w:sz w:val="32"/>
          <w:szCs w:val="32"/>
        </w:rPr>
        <w:t>第三部分 专业名词解释</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上年结转和结余：指以前年度支出预算因客观条件变化未执行完毕、结转到本年度按有关规定继续使用的资金，既包括财政拨款结转和结余，也包括事业收入、经营收入、其他收入的结转和结余。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结余分配：反映单位当年结余的分配情况。</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spacing w:line="540" w:lineRule="exact"/>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spacing w:line="540" w:lineRule="exact"/>
        <w:ind w:firstLine="640" w:firstLineChars="200"/>
        <w:rPr>
          <w:rFonts w:ascii="仿宋_GB2312" w:hAnsi="Calibri" w:eastAsia="仿宋_GB2312"/>
          <w:color w:val="000000" w:themeColor="text1"/>
          <w:sz w:val="32"/>
          <w:szCs w:val="32"/>
          <w:lang w:val="en-GB"/>
        </w:rPr>
      </w:pPr>
      <w:r>
        <w:rPr>
          <w:rFonts w:hint="eastAsia" w:ascii="仿宋_GB2312" w:eastAsia="仿宋_GB2312"/>
          <w:color w:val="000000" w:themeColor="text1"/>
          <w:sz w:val="32"/>
          <w:szCs w:val="32"/>
        </w:rPr>
        <w:t>本单位支出功能分类说明</w:t>
      </w:r>
      <w:r>
        <w:rPr>
          <w:rFonts w:hint="eastAsia" w:ascii="仿宋_GB2312" w:hAnsi="Calibri" w:eastAsia="仿宋_GB2312"/>
          <w:color w:val="000000" w:themeColor="text1"/>
          <w:sz w:val="32"/>
          <w:szCs w:val="32"/>
          <w:lang w:val="en-GB"/>
        </w:rPr>
        <w:t>。</w:t>
      </w:r>
      <w:r>
        <w:rPr>
          <w:rFonts w:hint="eastAsia" w:ascii="仿宋_GB2312" w:eastAsia="仿宋_GB2312"/>
          <w:sz w:val="32"/>
          <w:szCs w:val="32"/>
        </w:rPr>
        <w:t>201（类）10（款）06（项）指：军队转业干部安置。208（类）26（款）99（项）指：财政对其他基本养老保险基金的补助。213（类）05（款）05（项）指：生产发展。221（类）02（款）01（项）指：住房公积金。208（类）01（款）01（项）指：行政运行。201（类）10（款）01（项）指：行政运行。208（类）07（款）99（项）指：其他就业补助支出。208（类）05（款）05（项）指：机关事业单位基本养老保险缴费支出。</w:t>
      </w:r>
    </w:p>
    <w:p>
      <w:pPr>
        <w:spacing w:line="540" w:lineRule="exact"/>
        <w:ind w:firstLine="640" w:firstLineChars="200"/>
        <w:rPr>
          <w:rFonts w:ascii="仿宋_GB2312" w:hAnsi="Calibri" w:eastAsia="仿宋_GB2312"/>
          <w:sz w:val="32"/>
          <w:szCs w:val="32"/>
          <w:lang w:val="en-GB"/>
        </w:rPr>
      </w:pPr>
      <w:r>
        <w:rPr>
          <w:rFonts w:hint="eastAsia" w:ascii="仿宋_GB2312" w:eastAsia="仿宋_GB2312"/>
          <w:sz w:val="32"/>
          <w:szCs w:val="32"/>
        </w:rPr>
        <w:t>其他有关说明内容</w:t>
      </w:r>
      <w:r>
        <w:rPr>
          <w:rFonts w:hint="eastAsia" w:ascii="仿宋_GB2312" w:hAnsi="Calibri" w:eastAsia="仿宋_GB2312"/>
          <w:sz w:val="32"/>
          <w:szCs w:val="32"/>
          <w:lang w:val="en-GB"/>
        </w:rPr>
        <w:t>。</w:t>
      </w:r>
    </w:p>
    <w:p>
      <w:pPr>
        <w:spacing w:line="540" w:lineRule="exact"/>
        <w:ind w:firstLine="643" w:firstLineChars="200"/>
        <w:rPr>
          <w:rFonts w:ascii="仿宋_GB2312" w:eastAsia="仿宋_GB2312"/>
          <w:b/>
          <w:sz w:val="32"/>
          <w:szCs w:val="32"/>
        </w:rPr>
      </w:pPr>
    </w:p>
    <w:p>
      <w:pPr>
        <w:spacing w:line="540" w:lineRule="exact"/>
        <w:jc w:val="center"/>
        <w:rPr>
          <w:rFonts w:ascii="黑体" w:hAnsi="黑体" w:eastAsia="黑体"/>
          <w:sz w:val="32"/>
          <w:szCs w:val="32"/>
        </w:rPr>
      </w:pPr>
      <w:r>
        <w:rPr>
          <w:rFonts w:hint="eastAsia" w:ascii="黑体" w:hAnsi="黑体" w:eastAsia="黑体"/>
          <w:sz w:val="32"/>
          <w:szCs w:val="32"/>
        </w:rPr>
        <w:t>第四部分 部门决算公开的8张报表（见附表）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一、《收入支出决算总表》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四、《财政拨款收入支出决算总表》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五、《一般公共预算财政拨款支出决算表》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六、《一般公共预算财政拨款基本支出决算表》</w:t>
      </w:r>
    </w:p>
    <w:p>
      <w:pPr>
        <w:spacing w:line="540" w:lineRule="exact"/>
        <w:ind w:firstLine="640" w:firstLineChars="200"/>
        <w:rPr>
          <w:rFonts w:ascii="仿宋_GB2312" w:eastAsia="仿宋_GB2312"/>
          <w:sz w:val="32"/>
          <w:szCs w:val="32"/>
        </w:rPr>
      </w:pPr>
      <w:r>
        <w:rPr>
          <w:rFonts w:hint="eastAsia" w:ascii="仿宋_GB2312" w:eastAsia="仿宋_GB2312"/>
          <w:sz w:val="32"/>
          <w:szCs w:val="32"/>
        </w:rPr>
        <w:t>七、《一般公共预算财政拨款“三公”经费支出决算表》</w:t>
      </w:r>
    </w:p>
    <w:p>
      <w:pPr>
        <w:spacing w:line="540" w:lineRule="exact"/>
        <w:ind w:firstLine="640" w:firstLineChars="200"/>
        <w:rPr>
          <w:rFonts w:ascii="仿宋_GB2312" w:eastAsia="仿宋_GB2312"/>
          <w:sz w:val="32"/>
          <w:szCs w:val="32"/>
        </w:rPr>
        <w:sectPr>
          <w:footerReference r:id="rId3" w:type="default"/>
          <w:footerReference r:id="rId4" w:type="even"/>
          <w:pgSz w:w="11906" w:h="16838"/>
          <w:pgMar w:top="2041" w:right="1276" w:bottom="2041" w:left="1276" w:header="851" w:footer="1814" w:gutter="0"/>
          <w:pgNumType w:fmt="numberInDash"/>
          <w:cols w:space="425" w:num="1"/>
          <w:docGrid w:type="lines" w:linePitch="435" w:charSpace="-1675"/>
        </w:sectPr>
      </w:pPr>
      <w:r>
        <w:rPr>
          <w:rFonts w:hint="eastAsia" w:ascii="仿宋_GB2312" w:hAnsi="宋体" w:eastAsia="仿宋_GB2312"/>
          <w:sz w:val="32"/>
          <w:szCs w:val="32"/>
        </w:rPr>
        <w:t>八、</w:t>
      </w:r>
      <w:r>
        <w:rPr>
          <w:rFonts w:hint="eastAsia" w:ascii="仿宋_GB2312" w:eastAsia="仿宋_GB2312"/>
          <w:sz w:val="32"/>
          <w:szCs w:val="32"/>
        </w:rPr>
        <w:t>《政府性基金预算财政拨款收入支出决算表》</w:t>
      </w:r>
    </w:p>
    <w:p>
      <w:pPr>
        <w:spacing w:line="540" w:lineRule="exact"/>
        <w:rPr>
          <w:rFonts w:ascii="仿宋_GB2312" w:eastAsia="仿宋_GB2312"/>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9631" w:y="37"/>
      <w:jc w:val="right"/>
      <w:rPr>
        <w:rStyle w:val="9"/>
        <w:rFonts w:ascii="宋体" w:hAnsi="宋体" w:eastAsia="宋体"/>
        <w:sz w:val="28"/>
      </w:rPr>
    </w:pPr>
    <w:r>
      <w:rPr>
        <w:rStyle w:val="9"/>
        <w:rFonts w:ascii="宋体" w:hAnsi="宋体" w:eastAsia="宋体"/>
        <w:sz w:val="28"/>
      </w:rPr>
      <w:fldChar w:fldCharType="begin"/>
    </w:r>
    <w:r>
      <w:rPr>
        <w:rStyle w:val="9"/>
        <w:rFonts w:ascii="宋体" w:hAnsi="宋体" w:eastAsia="宋体"/>
        <w:sz w:val="28"/>
      </w:rPr>
      <w:instrText xml:space="preserve"> PAGE </w:instrText>
    </w:r>
    <w:r>
      <w:rPr>
        <w:rStyle w:val="9"/>
        <w:rFonts w:ascii="宋体" w:hAnsi="宋体" w:eastAsia="宋体"/>
        <w:sz w:val="28"/>
      </w:rPr>
      <w:fldChar w:fldCharType="separate"/>
    </w:r>
    <w:r>
      <w:rPr>
        <w:rStyle w:val="9"/>
        <w:rFonts w:ascii="宋体" w:hAnsi="宋体" w:eastAsia="宋体"/>
        <w:sz w:val="28"/>
      </w:rPr>
      <w:t>- 2 -</w:t>
    </w:r>
    <w:r>
      <w:rPr>
        <w:rStyle w:val="9"/>
        <w:rFonts w:ascii="宋体" w:hAnsi="宋体" w:eastAsia="宋体"/>
        <w:sz w:val="28"/>
      </w:rPr>
      <w:fldChar w:fldCharType="end"/>
    </w:r>
    <w:r>
      <w:rPr>
        <w:rStyle w:val="9"/>
        <w:rFonts w:hint="eastAsia" w:ascii="宋体" w:hAnsi="宋体" w:eastAsia="宋体"/>
        <w:sz w:val="28"/>
      </w:rPr>
      <w:t xml:space="preserve"> </w:t>
    </w:r>
  </w:p>
  <w:p>
    <w:pPr>
      <w:pStyle w:val="4"/>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page" w:x="1756" w:y="37"/>
      <w:rPr>
        <w:rStyle w:val="9"/>
        <w:rFonts w:ascii="宋体" w:hAnsi="宋体" w:eastAsia="宋体"/>
        <w:sz w:val="28"/>
        <w:szCs w:val="28"/>
      </w:rPr>
    </w:pPr>
    <w:r>
      <w:rPr>
        <w:rStyle w:val="9"/>
        <w:rFonts w:ascii="宋体" w:hAnsi="宋体" w:eastAsia="宋体"/>
        <w:sz w:val="28"/>
        <w:szCs w:val="28"/>
      </w:rPr>
      <w:fldChar w:fldCharType="begin"/>
    </w:r>
    <w:r>
      <w:rPr>
        <w:rStyle w:val="9"/>
        <w:rFonts w:ascii="宋体" w:hAnsi="宋体" w:eastAsia="宋体"/>
        <w:sz w:val="28"/>
        <w:szCs w:val="28"/>
      </w:rPr>
      <w:instrText xml:space="preserve">PAGE  </w:instrText>
    </w:r>
    <w:r>
      <w:rPr>
        <w:rStyle w:val="9"/>
        <w:rFonts w:ascii="宋体" w:hAnsi="宋体" w:eastAsia="宋体"/>
        <w:sz w:val="28"/>
        <w:szCs w:val="28"/>
      </w:rPr>
      <w:fldChar w:fldCharType="separate"/>
    </w:r>
    <w:r>
      <w:rPr>
        <w:rStyle w:val="9"/>
        <w:rFonts w:ascii="宋体" w:hAnsi="宋体" w:eastAsia="宋体"/>
        <w:sz w:val="28"/>
        <w:szCs w:val="28"/>
      </w:rPr>
      <w:t>- 12 -</w:t>
    </w:r>
    <w:r>
      <w:rPr>
        <w:rStyle w:val="9"/>
        <w:rFonts w:ascii="宋体" w:hAnsi="宋体" w:eastAsia="宋体"/>
        <w:sz w:val="28"/>
        <w:szCs w:val="28"/>
      </w:rPr>
      <w:fldChar w:fldCharType="end"/>
    </w:r>
  </w:p>
  <w:p>
    <w:pPr>
      <w:pStyle w:val="4"/>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443568"/>
    <w:rsid w:val="00000A75"/>
    <w:rsid w:val="00003BF7"/>
    <w:rsid w:val="00005719"/>
    <w:rsid w:val="00007F37"/>
    <w:rsid w:val="00010976"/>
    <w:rsid w:val="0002118A"/>
    <w:rsid w:val="00021887"/>
    <w:rsid w:val="00022242"/>
    <w:rsid w:val="00040E57"/>
    <w:rsid w:val="00044097"/>
    <w:rsid w:val="00050E1F"/>
    <w:rsid w:val="00054305"/>
    <w:rsid w:val="00060E28"/>
    <w:rsid w:val="000635BD"/>
    <w:rsid w:val="00065838"/>
    <w:rsid w:val="00080DEB"/>
    <w:rsid w:val="00083BBE"/>
    <w:rsid w:val="00083EBE"/>
    <w:rsid w:val="00091B9F"/>
    <w:rsid w:val="000A2EE8"/>
    <w:rsid w:val="000A497E"/>
    <w:rsid w:val="000A7773"/>
    <w:rsid w:val="000B08C5"/>
    <w:rsid w:val="000B206D"/>
    <w:rsid w:val="000B2C8D"/>
    <w:rsid w:val="000B6AD4"/>
    <w:rsid w:val="000B6C14"/>
    <w:rsid w:val="000B7C75"/>
    <w:rsid w:val="000C1474"/>
    <w:rsid w:val="000C7811"/>
    <w:rsid w:val="000D21F9"/>
    <w:rsid w:val="000E0AB3"/>
    <w:rsid w:val="000E21E6"/>
    <w:rsid w:val="000E65F1"/>
    <w:rsid w:val="000E73E7"/>
    <w:rsid w:val="000E75AE"/>
    <w:rsid w:val="000F3562"/>
    <w:rsid w:val="0010072E"/>
    <w:rsid w:val="00101D4F"/>
    <w:rsid w:val="0010481F"/>
    <w:rsid w:val="001128DE"/>
    <w:rsid w:val="00113241"/>
    <w:rsid w:val="0012066C"/>
    <w:rsid w:val="00123283"/>
    <w:rsid w:val="00124713"/>
    <w:rsid w:val="00124A31"/>
    <w:rsid w:val="00124B40"/>
    <w:rsid w:val="00133488"/>
    <w:rsid w:val="00133516"/>
    <w:rsid w:val="00137B91"/>
    <w:rsid w:val="00142400"/>
    <w:rsid w:val="00150BEF"/>
    <w:rsid w:val="00151A95"/>
    <w:rsid w:val="00157F86"/>
    <w:rsid w:val="00164EBC"/>
    <w:rsid w:val="001669CC"/>
    <w:rsid w:val="00166DAB"/>
    <w:rsid w:val="00166E4B"/>
    <w:rsid w:val="00167DB8"/>
    <w:rsid w:val="00170C1A"/>
    <w:rsid w:val="00171B68"/>
    <w:rsid w:val="00173DD7"/>
    <w:rsid w:val="00177527"/>
    <w:rsid w:val="00184AA3"/>
    <w:rsid w:val="00194099"/>
    <w:rsid w:val="001951FF"/>
    <w:rsid w:val="001A10E6"/>
    <w:rsid w:val="001A135B"/>
    <w:rsid w:val="001A1FDB"/>
    <w:rsid w:val="001A2A1A"/>
    <w:rsid w:val="001B3A06"/>
    <w:rsid w:val="001B5DF3"/>
    <w:rsid w:val="001C26F2"/>
    <w:rsid w:val="001C38EB"/>
    <w:rsid w:val="001C79E0"/>
    <w:rsid w:val="001D640A"/>
    <w:rsid w:val="001D65CB"/>
    <w:rsid w:val="001E197A"/>
    <w:rsid w:val="001E2962"/>
    <w:rsid w:val="001F0E21"/>
    <w:rsid w:val="001F2FE9"/>
    <w:rsid w:val="001F3267"/>
    <w:rsid w:val="001F6948"/>
    <w:rsid w:val="0020033F"/>
    <w:rsid w:val="00200C57"/>
    <w:rsid w:val="00207AD5"/>
    <w:rsid w:val="0021204D"/>
    <w:rsid w:val="002127E3"/>
    <w:rsid w:val="002146E7"/>
    <w:rsid w:val="00216FD0"/>
    <w:rsid w:val="00226DF0"/>
    <w:rsid w:val="00231C2E"/>
    <w:rsid w:val="00235D03"/>
    <w:rsid w:val="00241293"/>
    <w:rsid w:val="00245135"/>
    <w:rsid w:val="002453A6"/>
    <w:rsid w:val="00247520"/>
    <w:rsid w:val="00251FC8"/>
    <w:rsid w:val="00256471"/>
    <w:rsid w:val="00257943"/>
    <w:rsid w:val="002608FE"/>
    <w:rsid w:val="00271D59"/>
    <w:rsid w:val="0027418F"/>
    <w:rsid w:val="00282470"/>
    <w:rsid w:val="00295B34"/>
    <w:rsid w:val="0029700A"/>
    <w:rsid w:val="002A7E48"/>
    <w:rsid w:val="002B1DA2"/>
    <w:rsid w:val="002B557B"/>
    <w:rsid w:val="002B5D8E"/>
    <w:rsid w:val="002C0FB9"/>
    <w:rsid w:val="002C4530"/>
    <w:rsid w:val="002D2B8C"/>
    <w:rsid w:val="002D34C1"/>
    <w:rsid w:val="002D76FA"/>
    <w:rsid w:val="002E189D"/>
    <w:rsid w:val="002E18D1"/>
    <w:rsid w:val="002E1B0E"/>
    <w:rsid w:val="002E531F"/>
    <w:rsid w:val="002E64E8"/>
    <w:rsid w:val="002F3234"/>
    <w:rsid w:val="002F4F3E"/>
    <w:rsid w:val="00300B06"/>
    <w:rsid w:val="0030440B"/>
    <w:rsid w:val="00305C33"/>
    <w:rsid w:val="00307208"/>
    <w:rsid w:val="00311036"/>
    <w:rsid w:val="003136FF"/>
    <w:rsid w:val="003167D1"/>
    <w:rsid w:val="00317644"/>
    <w:rsid w:val="00317B91"/>
    <w:rsid w:val="00320F9D"/>
    <w:rsid w:val="003217D2"/>
    <w:rsid w:val="003228EE"/>
    <w:rsid w:val="0032647C"/>
    <w:rsid w:val="00326734"/>
    <w:rsid w:val="0033566D"/>
    <w:rsid w:val="003441F7"/>
    <w:rsid w:val="00344D62"/>
    <w:rsid w:val="00345984"/>
    <w:rsid w:val="00361388"/>
    <w:rsid w:val="00363F78"/>
    <w:rsid w:val="003642F3"/>
    <w:rsid w:val="00364924"/>
    <w:rsid w:val="00366A76"/>
    <w:rsid w:val="003700A6"/>
    <w:rsid w:val="00371AB7"/>
    <w:rsid w:val="00376020"/>
    <w:rsid w:val="00376E66"/>
    <w:rsid w:val="003818F3"/>
    <w:rsid w:val="0038402D"/>
    <w:rsid w:val="00386083"/>
    <w:rsid w:val="003913BA"/>
    <w:rsid w:val="003929A0"/>
    <w:rsid w:val="00394E80"/>
    <w:rsid w:val="00396057"/>
    <w:rsid w:val="003A03AB"/>
    <w:rsid w:val="003A251D"/>
    <w:rsid w:val="003A4403"/>
    <w:rsid w:val="003B29BD"/>
    <w:rsid w:val="003B4AA1"/>
    <w:rsid w:val="003B68E6"/>
    <w:rsid w:val="003B6E53"/>
    <w:rsid w:val="003C5A61"/>
    <w:rsid w:val="003D124B"/>
    <w:rsid w:val="003D161B"/>
    <w:rsid w:val="003D3AA4"/>
    <w:rsid w:val="003E4A05"/>
    <w:rsid w:val="003E5F5C"/>
    <w:rsid w:val="003E7D9E"/>
    <w:rsid w:val="003F37E0"/>
    <w:rsid w:val="00401A23"/>
    <w:rsid w:val="00401CA2"/>
    <w:rsid w:val="00405E6D"/>
    <w:rsid w:val="00411C55"/>
    <w:rsid w:val="00415648"/>
    <w:rsid w:val="00415BCE"/>
    <w:rsid w:val="0042015D"/>
    <w:rsid w:val="0042215C"/>
    <w:rsid w:val="00425950"/>
    <w:rsid w:val="00430B78"/>
    <w:rsid w:val="00441209"/>
    <w:rsid w:val="00443568"/>
    <w:rsid w:val="00444981"/>
    <w:rsid w:val="0045026B"/>
    <w:rsid w:val="004558AB"/>
    <w:rsid w:val="00457729"/>
    <w:rsid w:val="0047598D"/>
    <w:rsid w:val="004802CE"/>
    <w:rsid w:val="00486DB6"/>
    <w:rsid w:val="00487D16"/>
    <w:rsid w:val="004957F5"/>
    <w:rsid w:val="004976A5"/>
    <w:rsid w:val="004A0034"/>
    <w:rsid w:val="004A02D4"/>
    <w:rsid w:val="004A0690"/>
    <w:rsid w:val="004A2CA4"/>
    <w:rsid w:val="004A7A7B"/>
    <w:rsid w:val="004B401D"/>
    <w:rsid w:val="004B58A1"/>
    <w:rsid w:val="004B7BB8"/>
    <w:rsid w:val="004C351C"/>
    <w:rsid w:val="004C5BB4"/>
    <w:rsid w:val="004C7372"/>
    <w:rsid w:val="004D508F"/>
    <w:rsid w:val="004D5F0E"/>
    <w:rsid w:val="004D6793"/>
    <w:rsid w:val="004D7DE9"/>
    <w:rsid w:val="004E15B7"/>
    <w:rsid w:val="004E5557"/>
    <w:rsid w:val="004E678C"/>
    <w:rsid w:val="004F067D"/>
    <w:rsid w:val="004F0DBA"/>
    <w:rsid w:val="004F33DA"/>
    <w:rsid w:val="004F77C5"/>
    <w:rsid w:val="00501302"/>
    <w:rsid w:val="00507F68"/>
    <w:rsid w:val="00523B8A"/>
    <w:rsid w:val="00532585"/>
    <w:rsid w:val="00533FA0"/>
    <w:rsid w:val="0054006F"/>
    <w:rsid w:val="00540C10"/>
    <w:rsid w:val="005464FA"/>
    <w:rsid w:val="00560650"/>
    <w:rsid w:val="00567FB5"/>
    <w:rsid w:val="005770C3"/>
    <w:rsid w:val="00577753"/>
    <w:rsid w:val="00581AD2"/>
    <w:rsid w:val="005857A0"/>
    <w:rsid w:val="00592D42"/>
    <w:rsid w:val="0059719D"/>
    <w:rsid w:val="005A5B02"/>
    <w:rsid w:val="005B3245"/>
    <w:rsid w:val="005B6754"/>
    <w:rsid w:val="005B75C0"/>
    <w:rsid w:val="005C3143"/>
    <w:rsid w:val="005D311B"/>
    <w:rsid w:val="005D61D8"/>
    <w:rsid w:val="005E3B86"/>
    <w:rsid w:val="005E4E6B"/>
    <w:rsid w:val="005E6995"/>
    <w:rsid w:val="005E7C64"/>
    <w:rsid w:val="005F2A5A"/>
    <w:rsid w:val="005F2AEA"/>
    <w:rsid w:val="005F4FFE"/>
    <w:rsid w:val="00602C6F"/>
    <w:rsid w:val="00604ECA"/>
    <w:rsid w:val="006069FD"/>
    <w:rsid w:val="00610EE1"/>
    <w:rsid w:val="0061632B"/>
    <w:rsid w:val="006168AD"/>
    <w:rsid w:val="00621929"/>
    <w:rsid w:val="0062266C"/>
    <w:rsid w:val="006250CB"/>
    <w:rsid w:val="00627F36"/>
    <w:rsid w:val="006304D1"/>
    <w:rsid w:val="00631DA8"/>
    <w:rsid w:val="0063431E"/>
    <w:rsid w:val="00645C30"/>
    <w:rsid w:val="0065497B"/>
    <w:rsid w:val="00654E41"/>
    <w:rsid w:val="0067149A"/>
    <w:rsid w:val="0069278A"/>
    <w:rsid w:val="006A1C84"/>
    <w:rsid w:val="006A745B"/>
    <w:rsid w:val="006A78F4"/>
    <w:rsid w:val="006B0F85"/>
    <w:rsid w:val="006B4B06"/>
    <w:rsid w:val="006B4D0D"/>
    <w:rsid w:val="006B60E5"/>
    <w:rsid w:val="006B636C"/>
    <w:rsid w:val="006C1DED"/>
    <w:rsid w:val="006C3692"/>
    <w:rsid w:val="006D0B78"/>
    <w:rsid w:val="006D45B7"/>
    <w:rsid w:val="006D62B0"/>
    <w:rsid w:val="006F14EB"/>
    <w:rsid w:val="006F5BD8"/>
    <w:rsid w:val="007015B6"/>
    <w:rsid w:val="00701EC2"/>
    <w:rsid w:val="007021BE"/>
    <w:rsid w:val="00706C32"/>
    <w:rsid w:val="007106B4"/>
    <w:rsid w:val="007214A9"/>
    <w:rsid w:val="007214DF"/>
    <w:rsid w:val="007220B1"/>
    <w:rsid w:val="007302C1"/>
    <w:rsid w:val="0073120F"/>
    <w:rsid w:val="007314F0"/>
    <w:rsid w:val="0074240E"/>
    <w:rsid w:val="00742FA1"/>
    <w:rsid w:val="007476BA"/>
    <w:rsid w:val="00750798"/>
    <w:rsid w:val="00752BCF"/>
    <w:rsid w:val="0076538D"/>
    <w:rsid w:val="007714E5"/>
    <w:rsid w:val="00773D5E"/>
    <w:rsid w:val="00776FAF"/>
    <w:rsid w:val="00777229"/>
    <w:rsid w:val="007775E8"/>
    <w:rsid w:val="0078072D"/>
    <w:rsid w:val="00795099"/>
    <w:rsid w:val="00796088"/>
    <w:rsid w:val="007A2C71"/>
    <w:rsid w:val="007A2FBD"/>
    <w:rsid w:val="007A6743"/>
    <w:rsid w:val="007B1E23"/>
    <w:rsid w:val="007B2E9D"/>
    <w:rsid w:val="007B4447"/>
    <w:rsid w:val="007C0F24"/>
    <w:rsid w:val="007C1415"/>
    <w:rsid w:val="007C2670"/>
    <w:rsid w:val="007C2E4F"/>
    <w:rsid w:val="007C5E7D"/>
    <w:rsid w:val="007C7E2E"/>
    <w:rsid w:val="007D2127"/>
    <w:rsid w:val="007E3095"/>
    <w:rsid w:val="007F27ED"/>
    <w:rsid w:val="008043B9"/>
    <w:rsid w:val="0080628E"/>
    <w:rsid w:val="00807ACF"/>
    <w:rsid w:val="00821E76"/>
    <w:rsid w:val="008259BC"/>
    <w:rsid w:val="0083105A"/>
    <w:rsid w:val="00837040"/>
    <w:rsid w:val="008427AB"/>
    <w:rsid w:val="00847DCE"/>
    <w:rsid w:val="0085023C"/>
    <w:rsid w:val="00853966"/>
    <w:rsid w:val="00857827"/>
    <w:rsid w:val="00866A6C"/>
    <w:rsid w:val="008969FE"/>
    <w:rsid w:val="008A237C"/>
    <w:rsid w:val="008A2D2C"/>
    <w:rsid w:val="008A3633"/>
    <w:rsid w:val="008B2514"/>
    <w:rsid w:val="008B4607"/>
    <w:rsid w:val="008B5C78"/>
    <w:rsid w:val="008C030F"/>
    <w:rsid w:val="008C3836"/>
    <w:rsid w:val="008E28BD"/>
    <w:rsid w:val="008E4EAC"/>
    <w:rsid w:val="008E5D6E"/>
    <w:rsid w:val="008F0F07"/>
    <w:rsid w:val="00910E73"/>
    <w:rsid w:val="009110DE"/>
    <w:rsid w:val="00913B22"/>
    <w:rsid w:val="00914BA4"/>
    <w:rsid w:val="00920C0A"/>
    <w:rsid w:val="00920E2A"/>
    <w:rsid w:val="00922EA0"/>
    <w:rsid w:val="009240D6"/>
    <w:rsid w:val="00924A08"/>
    <w:rsid w:val="009256ED"/>
    <w:rsid w:val="00927052"/>
    <w:rsid w:val="00927281"/>
    <w:rsid w:val="00940134"/>
    <w:rsid w:val="00943A3E"/>
    <w:rsid w:val="00944CCC"/>
    <w:rsid w:val="00945E7F"/>
    <w:rsid w:val="00947403"/>
    <w:rsid w:val="0095057C"/>
    <w:rsid w:val="009543BA"/>
    <w:rsid w:val="00954FB4"/>
    <w:rsid w:val="00960925"/>
    <w:rsid w:val="00970AB3"/>
    <w:rsid w:val="00982C13"/>
    <w:rsid w:val="00985DF4"/>
    <w:rsid w:val="00987E45"/>
    <w:rsid w:val="0099241E"/>
    <w:rsid w:val="009942F3"/>
    <w:rsid w:val="00994950"/>
    <w:rsid w:val="0099652B"/>
    <w:rsid w:val="009A0831"/>
    <w:rsid w:val="009A44FB"/>
    <w:rsid w:val="009A5CDE"/>
    <w:rsid w:val="009B3F92"/>
    <w:rsid w:val="009C3CE9"/>
    <w:rsid w:val="009C6A82"/>
    <w:rsid w:val="009D15D2"/>
    <w:rsid w:val="009D592F"/>
    <w:rsid w:val="009D641F"/>
    <w:rsid w:val="009E49B5"/>
    <w:rsid w:val="009E711C"/>
    <w:rsid w:val="009F06B8"/>
    <w:rsid w:val="00A0017F"/>
    <w:rsid w:val="00A037A6"/>
    <w:rsid w:val="00A11A5F"/>
    <w:rsid w:val="00A11F40"/>
    <w:rsid w:val="00A13D3F"/>
    <w:rsid w:val="00A273DB"/>
    <w:rsid w:val="00A3080D"/>
    <w:rsid w:val="00A30EB7"/>
    <w:rsid w:val="00A31D7F"/>
    <w:rsid w:val="00A338C6"/>
    <w:rsid w:val="00A408E3"/>
    <w:rsid w:val="00A425CE"/>
    <w:rsid w:val="00A44660"/>
    <w:rsid w:val="00A55F77"/>
    <w:rsid w:val="00A72457"/>
    <w:rsid w:val="00A86966"/>
    <w:rsid w:val="00A872D8"/>
    <w:rsid w:val="00A912CC"/>
    <w:rsid w:val="00A970D1"/>
    <w:rsid w:val="00AA57AE"/>
    <w:rsid w:val="00AB0AFB"/>
    <w:rsid w:val="00AC002C"/>
    <w:rsid w:val="00AC1DD9"/>
    <w:rsid w:val="00AC4218"/>
    <w:rsid w:val="00AD3489"/>
    <w:rsid w:val="00AD3E2D"/>
    <w:rsid w:val="00AD51DD"/>
    <w:rsid w:val="00AE5C1B"/>
    <w:rsid w:val="00AE79D8"/>
    <w:rsid w:val="00AE7BAC"/>
    <w:rsid w:val="00AF09FB"/>
    <w:rsid w:val="00B00C16"/>
    <w:rsid w:val="00B03B3E"/>
    <w:rsid w:val="00B046A4"/>
    <w:rsid w:val="00B06382"/>
    <w:rsid w:val="00B0733F"/>
    <w:rsid w:val="00B10701"/>
    <w:rsid w:val="00B146E7"/>
    <w:rsid w:val="00B30B86"/>
    <w:rsid w:val="00B32A4F"/>
    <w:rsid w:val="00B358E2"/>
    <w:rsid w:val="00B40CB6"/>
    <w:rsid w:val="00B50AD6"/>
    <w:rsid w:val="00B51AB3"/>
    <w:rsid w:val="00B5337C"/>
    <w:rsid w:val="00B5340F"/>
    <w:rsid w:val="00B611F7"/>
    <w:rsid w:val="00B6765D"/>
    <w:rsid w:val="00B717C5"/>
    <w:rsid w:val="00B75463"/>
    <w:rsid w:val="00B90F21"/>
    <w:rsid w:val="00B93445"/>
    <w:rsid w:val="00B94F7E"/>
    <w:rsid w:val="00B95F83"/>
    <w:rsid w:val="00B965C5"/>
    <w:rsid w:val="00B96E34"/>
    <w:rsid w:val="00B9729A"/>
    <w:rsid w:val="00BB0177"/>
    <w:rsid w:val="00BB3A31"/>
    <w:rsid w:val="00BC2D65"/>
    <w:rsid w:val="00BD1F2C"/>
    <w:rsid w:val="00BD2BBE"/>
    <w:rsid w:val="00BD7EF8"/>
    <w:rsid w:val="00BE0FEE"/>
    <w:rsid w:val="00BE4817"/>
    <w:rsid w:val="00BE721C"/>
    <w:rsid w:val="00BF0DC7"/>
    <w:rsid w:val="00BF1F54"/>
    <w:rsid w:val="00C04782"/>
    <w:rsid w:val="00C04F2D"/>
    <w:rsid w:val="00C238F0"/>
    <w:rsid w:val="00C25CC6"/>
    <w:rsid w:val="00C31297"/>
    <w:rsid w:val="00C61A9B"/>
    <w:rsid w:val="00C732F1"/>
    <w:rsid w:val="00C8565C"/>
    <w:rsid w:val="00C92227"/>
    <w:rsid w:val="00CB0287"/>
    <w:rsid w:val="00CB11AE"/>
    <w:rsid w:val="00CB2CF7"/>
    <w:rsid w:val="00CC1506"/>
    <w:rsid w:val="00CC176A"/>
    <w:rsid w:val="00CC1B4E"/>
    <w:rsid w:val="00CC3731"/>
    <w:rsid w:val="00CC4506"/>
    <w:rsid w:val="00CC4F04"/>
    <w:rsid w:val="00CD723D"/>
    <w:rsid w:val="00CE1BBB"/>
    <w:rsid w:val="00CF226A"/>
    <w:rsid w:val="00CF3263"/>
    <w:rsid w:val="00CF444E"/>
    <w:rsid w:val="00D001BF"/>
    <w:rsid w:val="00D07FED"/>
    <w:rsid w:val="00D1171B"/>
    <w:rsid w:val="00D1499A"/>
    <w:rsid w:val="00D16172"/>
    <w:rsid w:val="00D20653"/>
    <w:rsid w:val="00D25C67"/>
    <w:rsid w:val="00D30DDB"/>
    <w:rsid w:val="00D334A9"/>
    <w:rsid w:val="00D36199"/>
    <w:rsid w:val="00D43678"/>
    <w:rsid w:val="00D51F2C"/>
    <w:rsid w:val="00D5247F"/>
    <w:rsid w:val="00D528F6"/>
    <w:rsid w:val="00D670F7"/>
    <w:rsid w:val="00D7746E"/>
    <w:rsid w:val="00D819E7"/>
    <w:rsid w:val="00D85A61"/>
    <w:rsid w:val="00D92C82"/>
    <w:rsid w:val="00DA1E10"/>
    <w:rsid w:val="00DA463D"/>
    <w:rsid w:val="00DA5B64"/>
    <w:rsid w:val="00DB2B00"/>
    <w:rsid w:val="00DB45E7"/>
    <w:rsid w:val="00DC19E1"/>
    <w:rsid w:val="00DC25CF"/>
    <w:rsid w:val="00DC65F7"/>
    <w:rsid w:val="00DF32E5"/>
    <w:rsid w:val="00DF3EFD"/>
    <w:rsid w:val="00E07FDF"/>
    <w:rsid w:val="00E14EDE"/>
    <w:rsid w:val="00E242B2"/>
    <w:rsid w:val="00E31696"/>
    <w:rsid w:val="00E33E4C"/>
    <w:rsid w:val="00E44960"/>
    <w:rsid w:val="00E52F6A"/>
    <w:rsid w:val="00E545C9"/>
    <w:rsid w:val="00E55774"/>
    <w:rsid w:val="00E56018"/>
    <w:rsid w:val="00E64B7B"/>
    <w:rsid w:val="00E66654"/>
    <w:rsid w:val="00E74817"/>
    <w:rsid w:val="00E75B6D"/>
    <w:rsid w:val="00E76C2B"/>
    <w:rsid w:val="00E8294F"/>
    <w:rsid w:val="00E870C3"/>
    <w:rsid w:val="00E8738A"/>
    <w:rsid w:val="00E916E5"/>
    <w:rsid w:val="00E92F11"/>
    <w:rsid w:val="00E95399"/>
    <w:rsid w:val="00E95FBD"/>
    <w:rsid w:val="00E9654C"/>
    <w:rsid w:val="00EA1A1C"/>
    <w:rsid w:val="00EA36D3"/>
    <w:rsid w:val="00EB1C85"/>
    <w:rsid w:val="00EB22F0"/>
    <w:rsid w:val="00EB380F"/>
    <w:rsid w:val="00EB3823"/>
    <w:rsid w:val="00EC5A7D"/>
    <w:rsid w:val="00EC7099"/>
    <w:rsid w:val="00ED5E90"/>
    <w:rsid w:val="00ED60E2"/>
    <w:rsid w:val="00EE0A13"/>
    <w:rsid w:val="00EE2897"/>
    <w:rsid w:val="00EF31D5"/>
    <w:rsid w:val="00EF7FDA"/>
    <w:rsid w:val="00F01612"/>
    <w:rsid w:val="00F04B17"/>
    <w:rsid w:val="00F113F4"/>
    <w:rsid w:val="00F13479"/>
    <w:rsid w:val="00F14CE8"/>
    <w:rsid w:val="00F1625A"/>
    <w:rsid w:val="00F17C93"/>
    <w:rsid w:val="00F50BA2"/>
    <w:rsid w:val="00F5664D"/>
    <w:rsid w:val="00F6771B"/>
    <w:rsid w:val="00F703C3"/>
    <w:rsid w:val="00F80799"/>
    <w:rsid w:val="00F81776"/>
    <w:rsid w:val="00F835AD"/>
    <w:rsid w:val="00F844FD"/>
    <w:rsid w:val="00F869A3"/>
    <w:rsid w:val="00F86FB3"/>
    <w:rsid w:val="00F97BF1"/>
    <w:rsid w:val="00FA29D8"/>
    <w:rsid w:val="00FA5F5D"/>
    <w:rsid w:val="00FB0BA6"/>
    <w:rsid w:val="00FC29A0"/>
    <w:rsid w:val="00FC6C17"/>
    <w:rsid w:val="00FE48DB"/>
    <w:rsid w:val="00FF3620"/>
    <w:rsid w:val="00FF3A84"/>
    <w:rsid w:val="01110239"/>
    <w:rsid w:val="028847F9"/>
    <w:rsid w:val="03AA79F6"/>
    <w:rsid w:val="04741FE5"/>
    <w:rsid w:val="04DB02C7"/>
    <w:rsid w:val="05E33011"/>
    <w:rsid w:val="060967EF"/>
    <w:rsid w:val="06B856EE"/>
    <w:rsid w:val="07FE5938"/>
    <w:rsid w:val="084604BC"/>
    <w:rsid w:val="08883825"/>
    <w:rsid w:val="09725983"/>
    <w:rsid w:val="0A382BB5"/>
    <w:rsid w:val="0AA4543A"/>
    <w:rsid w:val="0BE61132"/>
    <w:rsid w:val="0C377920"/>
    <w:rsid w:val="0C9B0DD6"/>
    <w:rsid w:val="0CE4791C"/>
    <w:rsid w:val="0E063C64"/>
    <w:rsid w:val="0F4C7B96"/>
    <w:rsid w:val="0FFB575E"/>
    <w:rsid w:val="10845F1B"/>
    <w:rsid w:val="11463A00"/>
    <w:rsid w:val="11600918"/>
    <w:rsid w:val="11A50F86"/>
    <w:rsid w:val="11B0398F"/>
    <w:rsid w:val="12DB15C6"/>
    <w:rsid w:val="13B960C5"/>
    <w:rsid w:val="152777F4"/>
    <w:rsid w:val="15C674B6"/>
    <w:rsid w:val="18D54A0D"/>
    <w:rsid w:val="1A4106A0"/>
    <w:rsid w:val="1A4F5437"/>
    <w:rsid w:val="1AB77CD0"/>
    <w:rsid w:val="1B330416"/>
    <w:rsid w:val="1E807156"/>
    <w:rsid w:val="1EA657F6"/>
    <w:rsid w:val="1F097CB6"/>
    <w:rsid w:val="20BF7EFA"/>
    <w:rsid w:val="2166156B"/>
    <w:rsid w:val="21B02D83"/>
    <w:rsid w:val="22A236F5"/>
    <w:rsid w:val="23995975"/>
    <w:rsid w:val="2432220E"/>
    <w:rsid w:val="248303BA"/>
    <w:rsid w:val="24837E47"/>
    <w:rsid w:val="252E01AA"/>
    <w:rsid w:val="261B2191"/>
    <w:rsid w:val="2680023E"/>
    <w:rsid w:val="29680352"/>
    <w:rsid w:val="2A020F75"/>
    <w:rsid w:val="2B007AEE"/>
    <w:rsid w:val="2BC14C56"/>
    <w:rsid w:val="2C1B026F"/>
    <w:rsid w:val="2CC61F55"/>
    <w:rsid w:val="2E5853D9"/>
    <w:rsid w:val="2EF7452F"/>
    <w:rsid w:val="2F1D13B4"/>
    <w:rsid w:val="2F5473E5"/>
    <w:rsid w:val="2FAA3DA6"/>
    <w:rsid w:val="30682E1F"/>
    <w:rsid w:val="30E210D2"/>
    <w:rsid w:val="311371D6"/>
    <w:rsid w:val="31EB64C9"/>
    <w:rsid w:val="336D0D6F"/>
    <w:rsid w:val="33C56FA0"/>
    <w:rsid w:val="35063F41"/>
    <w:rsid w:val="352E4BEC"/>
    <w:rsid w:val="37DD5594"/>
    <w:rsid w:val="38F24FA8"/>
    <w:rsid w:val="3A98342A"/>
    <w:rsid w:val="3AB6780E"/>
    <w:rsid w:val="3AD56D70"/>
    <w:rsid w:val="3B2920C2"/>
    <w:rsid w:val="3BE41ABD"/>
    <w:rsid w:val="3C5421A9"/>
    <w:rsid w:val="3C9767C4"/>
    <w:rsid w:val="3D903B21"/>
    <w:rsid w:val="3F440741"/>
    <w:rsid w:val="41FC306C"/>
    <w:rsid w:val="44BE5554"/>
    <w:rsid w:val="451E0908"/>
    <w:rsid w:val="452C2D31"/>
    <w:rsid w:val="45D26E14"/>
    <w:rsid w:val="46A541B1"/>
    <w:rsid w:val="474C44C8"/>
    <w:rsid w:val="48C57772"/>
    <w:rsid w:val="49782886"/>
    <w:rsid w:val="4A6F0D28"/>
    <w:rsid w:val="4AAF085C"/>
    <w:rsid w:val="4AEB7E60"/>
    <w:rsid w:val="4B4B135B"/>
    <w:rsid w:val="4BC7055F"/>
    <w:rsid w:val="4CFC7DB2"/>
    <w:rsid w:val="4E7C187D"/>
    <w:rsid w:val="508941AD"/>
    <w:rsid w:val="50E65530"/>
    <w:rsid w:val="51457139"/>
    <w:rsid w:val="51574DBD"/>
    <w:rsid w:val="51EC1DA8"/>
    <w:rsid w:val="52EA40A2"/>
    <w:rsid w:val="52FC5524"/>
    <w:rsid w:val="532D7A17"/>
    <w:rsid w:val="54AF4562"/>
    <w:rsid w:val="54C9674B"/>
    <w:rsid w:val="556318EA"/>
    <w:rsid w:val="55A60AA1"/>
    <w:rsid w:val="56451615"/>
    <w:rsid w:val="57FC5774"/>
    <w:rsid w:val="594D5CB2"/>
    <w:rsid w:val="59B332C9"/>
    <w:rsid w:val="5A44758A"/>
    <w:rsid w:val="5BC71626"/>
    <w:rsid w:val="5BEC4BB3"/>
    <w:rsid w:val="5C070B55"/>
    <w:rsid w:val="5CB96DCE"/>
    <w:rsid w:val="5CE61580"/>
    <w:rsid w:val="5D0E7ECE"/>
    <w:rsid w:val="5D175666"/>
    <w:rsid w:val="5D1757B3"/>
    <w:rsid w:val="5D556A3C"/>
    <w:rsid w:val="5D7B25C9"/>
    <w:rsid w:val="5ECB44B4"/>
    <w:rsid w:val="5EE2043C"/>
    <w:rsid w:val="602D2E37"/>
    <w:rsid w:val="61460FBE"/>
    <w:rsid w:val="62775810"/>
    <w:rsid w:val="62D83744"/>
    <w:rsid w:val="630F4048"/>
    <w:rsid w:val="639230E0"/>
    <w:rsid w:val="63AA02E5"/>
    <w:rsid w:val="64191E9D"/>
    <w:rsid w:val="64700DE9"/>
    <w:rsid w:val="65C613BD"/>
    <w:rsid w:val="65FD118C"/>
    <w:rsid w:val="682C3D89"/>
    <w:rsid w:val="68611305"/>
    <w:rsid w:val="68F06BA8"/>
    <w:rsid w:val="696D5E01"/>
    <w:rsid w:val="6A162DE0"/>
    <w:rsid w:val="6A331428"/>
    <w:rsid w:val="6ADB4BAE"/>
    <w:rsid w:val="6B2E5CB6"/>
    <w:rsid w:val="6B3D4886"/>
    <w:rsid w:val="6DF65CDE"/>
    <w:rsid w:val="6DF8675E"/>
    <w:rsid w:val="6EA80098"/>
    <w:rsid w:val="6EEB783E"/>
    <w:rsid w:val="6F8D70FF"/>
    <w:rsid w:val="6FFE5011"/>
    <w:rsid w:val="7178734D"/>
    <w:rsid w:val="71791096"/>
    <w:rsid w:val="717B0C34"/>
    <w:rsid w:val="71FB78FD"/>
    <w:rsid w:val="7275064A"/>
    <w:rsid w:val="733F750B"/>
    <w:rsid w:val="73510150"/>
    <w:rsid w:val="735702E2"/>
    <w:rsid w:val="738C644B"/>
    <w:rsid w:val="765F635A"/>
    <w:rsid w:val="76B73454"/>
    <w:rsid w:val="76D254BD"/>
    <w:rsid w:val="77727ACD"/>
    <w:rsid w:val="78071142"/>
    <w:rsid w:val="79296B37"/>
    <w:rsid w:val="7A4C4C40"/>
    <w:rsid w:val="7AA0518E"/>
    <w:rsid w:val="7AB85195"/>
    <w:rsid w:val="7B041636"/>
    <w:rsid w:val="7CA86749"/>
    <w:rsid w:val="7EC92370"/>
    <w:rsid w:val="7F2238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99"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semiHidden/>
    <w:unhideWhenUsed/>
    <w:qFormat/>
    <w:uiPriority w:val="99"/>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1"/>
    <w:qFormat/>
    <w:uiPriority w:val="0"/>
    <w:pPr>
      <w:tabs>
        <w:tab w:val="center" w:pos="4153"/>
        <w:tab w:val="right" w:pos="8306"/>
      </w:tabs>
      <w:snapToGrid w:val="0"/>
      <w:jc w:val="left"/>
    </w:pPr>
    <w:rPr>
      <w:rFonts w:eastAsia="黑体"/>
      <w:snapToGrid w:val="0"/>
      <w:kern w:val="0"/>
      <w:sz w:val="18"/>
      <w:szCs w:val="18"/>
    </w:rPr>
  </w:style>
  <w:style w:type="paragraph" w:styleId="5">
    <w:name w:val="header"/>
    <w:basedOn w:val="1"/>
    <w:link w:val="15"/>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annotation subject"/>
    <w:basedOn w:val="2"/>
    <w:next w:val="2"/>
    <w:link w:val="13"/>
    <w:semiHidden/>
    <w:unhideWhenUsed/>
    <w:qFormat/>
    <w:uiPriority w:val="99"/>
    <w:rPr>
      <w:b/>
      <w:bCs/>
    </w:rPr>
  </w:style>
  <w:style w:type="character" w:styleId="9">
    <w:name w:val="page number"/>
    <w:basedOn w:val="8"/>
    <w:qFormat/>
    <w:uiPriority w:val="0"/>
  </w:style>
  <w:style w:type="character" w:styleId="10">
    <w:name w:val="annotation reference"/>
    <w:basedOn w:val="8"/>
    <w:semiHidden/>
    <w:unhideWhenUsed/>
    <w:qFormat/>
    <w:uiPriority w:val="99"/>
    <w:rPr>
      <w:sz w:val="21"/>
      <w:szCs w:val="21"/>
    </w:rPr>
  </w:style>
  <w:style w:type="character" w:customStyle="1" w:styleId="11">
    <w:name w:val="页脚 Char"/>
    <w:basedOn w:val="8"/>
    <w:link w:val="4"/>
    <w:qFormat/>
    <w:uiPriority w:val="0"/>
    <w:rPr>
      <w:rFonts w:ascii="Times New Roman" w:hAnsi="Times New Roman" w:eastAsia="黑体" w:cs="Times New Roman"/>
      <w:snapToGrid w:val="0"/>
      <w:kern w:val="0"/>
      <w:sz w:val="18"/>
      <w:szCs w:val="18"/>
    </w:rPr>
  </w:style>
  <w:style w:type="character" w:customStyle="1" w:styleId="12">
    <w:name w:val="批注文字 Char"/>
    <w:basedOn w:val="8"/>
    <w:link w:val="2"/>
    <w:semiHidden/>
    <w:qFormat/>
    <w:uiPriority w:val="99"/>
    <w:rPr>
      <w:rFonts w:ascii="Times New Roman" w:hAnsi="Times New Roman" w:eastAsia="宋体" w:cs="Times New Roman"/>
      <w:szCs w:val="24"/>
    </w:rPr>
  </w:style>
  <w:style w:type="character" w:customStyle="1" w:styleId="13">
    <w:name w:val="批注主题 Char"/>
    <w:basedOn w:val="12"/>
    <w:link w:val="6"/>
    <w:semiHidden/>
    <w:qFormat/>
    <w:uiPriority w:val="99"/>
    <w:rPr>
      <w:rFonts w:ascii="Times New Roman" w:hAnsi="Times New Roman" w:eastAsia="宋体" w:cs="Times New Roman"/>
      <w:b/>
      <w:bCs/>
      <w:szCs w:val="24"/>
    </w:rPr>
  </w:style>
  <w:style w:type="character" w:customStyle="1" w:styleId="14">
    <w:name w:val="批注框文本 Char"/>
    <w:basedOn w:val="8"/>
    <w:link w:val="3"/>
    <w:semiHidden/>
    <w:qFormat/>
    <w:uiPriority w:val="99"/>
    <w:rPr>
      <w:rFonts w:ascii="Times New Roman" w:hAnsi="Times New Roman" w:eastAsia="宋体" w:cs="Times New Roman"/>
      <w:sz w:val="18"/>
      <w:szCs w:val="18"/>
    </w:rPr>
  </w:style>
  <w:style w:type="character" w:customStyle="1" w:styleId="15">
    <w:name w:val="页眉 Char"/>
    <w:basedOn w:val="8"/>
    <w:link w:val="5"/>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15</Pages>
  <Words>1090</Words>
  <Characters>6214</Characters>
  <Lines>51</Lines>
  <Paragraphs>14</Paragraphs>
  <TotalTime>304</TotalTime>
  <ScaleCrop>false</ScaleCrop>
  <LinksUpToDate>false</LinksUpToDate>
  <CharactersWithSpaces>7290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2019-05-30T09:42:00Z</dcterms:created>
  <dc:creator>Administrator</dc:creator>
  <cp:lastModifiedBy></cp:lastModifiedBy>
  <dcterms:modified xsi:type="dcterms:W3CDTF">2020-04-03T13:11:03Z</dcterms:modified>
  <cp:revision>812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