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lang w:val="zh-TW" w:eastAsia="zh-TW"/>
        </w:rPr>
      </w:pPr>
      <w:r>
        <w:rPr>
          <w:rFonts w:ascii="华文中宋" w:hAnsi="华文中宋" w:eastAsia="华文中宋" w:cs="华文中宋"/>
          <w:b/>
          <w:bCs/>
          <w:kern w:val="0"/>
          <w:sz w:val="52"/>
          <w:szCs w:val="52"/>
          <w:lang w:val="zh-TW" w:eastAsia="zh-TW"/>
        </w:rPr>
        <w:t>新疆财政支出绩效自评报告</w:t>
      </w: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kern w:val="0"/>
          <w:sz w:val="36"/>
          <w:szCs w:val="36"/>
          <w:lang w:val="zh-TW" w:eastAsia="zh-TW"/>
        </w:rPr>
      </w:pPr>
      <w:r>
        <w:rPr>
          <w:rFonts w:ascii="仿宋_GB2312" w:hAnsi="仿宋_GB2312" w:eastAsia="仿宋_GB2312" w:cs="仿宋_GB2312"/>
          <w:kern w:val="0"/>
          <w:sz w:val="36"/>
          <w:szCs w:val="36"/>
          <w:lang w:val="zh-TW" w:eastAsia="zh-TW"/>
        </w:rPr>
        <w:t>（201</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年度）</w:t>
      </w: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rPr>
          <w:kern w:val="0"/>
          <w:sz w:val="30"/>
          <w:szCs w:val="30"/>
        </w:rPr>
      </w:pPr>
    </w:p>
    <w:p>
      <w:pPr>
        <w:pStyle w:val="48"/>
        <w:spacing w:line="540" w:lineRule="exact"/>
        <w:rPr>
          <w:kern w:val="0"/>
          <w:sz w:val="30"/>
          <w:szCs w:val="30"/>
        </w:rPr>
      </w:pPr>
    </w:p>
    <w:p>
      <w:pPr>
        <w:pStyle w:val="48"/>
        <w:spacing w:line="700" w:lineRule="exact"/>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rPr>
        <w:t>棉麻公司退休人员医疗费项目</w:t>
      </w:r>
    </w:p>
    <w:p>
      <w:pPr>
        <w:pStyle w:val="48"/>
        <w:spacing w:line="700" w:lineRule="exact"/>
        <w:jc w:val="left"/>
        <w:rPr>
          <w:kern w:val="0"/>
          <w:sz w:val="36"/>
          <w:szCs w:val="36"/>
          <w:lang w:val="zh-TW"/>
        </w:rPr>
      </w:pP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2"/>
          <w:szCs w:val="32"/>
          <w:lang w:val="zh-TW"/>
        </w:rPr>
        <w:t>泽普县劳动就业保险管理局</w:t>
      </w:r>
    </w:p>
    <w:p>
      <w:pPr>
        <w:pStyle w:val="48"/>
        <w:spacing w:line="700" w:lineRule="exact"/>
        <w:jc w:val="left"/>
        <w:rPr>
          <w:kern w:val="0"/>
          <w:sz w:val="36"/>
          <w:szCs w:val="36"/>
          <w:lang w:val="zh-TW" w:eastAsia="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2"/>
          <w:szCs w:val="32"/>
          <w:lang w:val="zh-TW"/>
        </w:rPr>
        <w:t>泽普县人力资源和社会保障局</w:t>
      </w:r>
    </w:p>
    <w:p>
      <w:pPr>
        <w:pStyle w:val="48"/>
        <w:spacing w:line="700" w:lineRule="exact"/>
        <w:jc w:val="left"/>
        <w:rPr>
          <w:kern w:val="0"/>
          <w:sz w:val="36"/>
          <w:szCs w:val="36"/>
          <w:lang w:val="zh-TW" w:eastAsia="zh-TW"/>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lang w:val="zh-TW"/>
        </w:rPr>
        <w:t>范晓俊</w:t>
      </w:r>
    </w:p>
    <w:p>
      <w:pPr>
        <w:pStyle w:val="48"/>
        <w:spacing w:line="700" w:lineRule="exact"/>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年</w:t>
      </w:r>
      <w:r>
        <w:rPr>
          <w:rFonts w:hint="eastAsia" w:ascii="仿宋_GB2312" w:hAnsi="仿宋_GB2312" w:eastAsia="仿宋_GB2312" w:cs="仿宋_GB2312"/>
          <w:kern w:val="0"/>
          <w:sz w:val="36"/>
          <w:szCs w:val="36"/>
          <w:lang w:val="zh-TW"/>
        </w:rPr>
        <w:t>12</w:t>
      </w:r>
      <w:r>
        <w:rPr>
          <w:rFonts w:ascii="仿宋_GB2312" w:hAnsi="仿宋_GB2312" w:eastAsia="仿宋_GB2312" w:cs="仿宋_GB2312"/>
          <w:kern w:val="0"/>
          <w:sz w:val="36"/>
          <w:szCs w:val="36"/>
          <w:lang w:val="zh-TW" w:eastAsia="zh-TW"/>
        </w:rPr>
        <w:t>月</w:t>
      </w:r>
      <w:r>
        <w:rPr>
          <w:rFonts w:hint="eastAsia" w:ascii="仿宋_GB2312" w:hAnsi="仿宋_GB2312" w:eastAsia="仿宋_GB2312" w:cs="仿宋_GB2312"/>
          <w:kern w:val="0"/>
          <w:sz w:val="36"/>
          <w:szCs w:val="36"/>
          <w:lang w:val="en-US" w:eastAsia="zh-CN"/>
        </w:rPr>
        <w:t>25</w:t>
      </w:r>
      <w:r>
        <w:rPr>
          <w:rFonts w:ascii="仿宋_GB2312" w:hAnsi="仿宋_GB2312" w:eastAsia="仿宋_GB2312" w:cs="仿宋_GB2312"/>
          <w:kern w:val="0"/>
          <w:sz w:val="36"/>
          <w:szCs w:val="36"/>
          <w:lang w:val="zh-TW" w:eastAsia="zh-TW"/>
        </w:rPr>
        <w:t>日</w:t>
      </w:r>
    </w:p>
    <w:p>
      <w:pPr>
        <w:pStyle w:val="48"/>
        <w:spacing w:line="700" w:lineRule="exact"/>
        <w:ind w:firstLine="624" w:firstLineChars="200"/>
        <w:jc w:val="left"/>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spacing w:line="560" w:lineRule="exact"/>
        <w:ind w:firstLine="640" w:firstLineChars="200"/>
        <w:rPr>
          <w:rFonts w:ascii="仿宋" w:hAnsi="仿宋" w:eastAsia="仿宋"/>
          <w:sz w:val="32"/>
          <w:szCs w:val="32"/>
        </w:rPr>
      </w:pPr>
      <w:r>
        <w:rPr>
          <w:rFonts w:hint="eastAsia" w:ascii="仿宋_GB2312" w:hAnsi="仿宋" w:eastAsia="仿宋_GB2312"/>
          <w:sz w:val="32"/>
          <w:szCs w:val="32"/>
        </w:rPr>
        <w:t>2018年棉麻公司退休人员医疗费项目，在县委、政府的正确领导下，以及上级业务主管部门的具体业务指导下，按照“保基本、广覆盖、有弹性、可持续”的原则，以完善制度、平台保障、宣传发动、规范实施、优化服务为主线，依据喀署发[2001]37号《关于印发喀什地区城镇职工大病管理办法等五个文件的通知》，自2010年实施以来，2018年主要涉及我县101名棉麻公司退休人员医疗费用保障，执行三个目录，符合三个目录的医疗费用，按政策规定比例报销，是</w:t>
      </w:r>
      <w:r>
        <w:rPr>
          <w:rFonts w:hint="eastAsia" w:ascii="仿宋" w:hAnsi="仿宋" w:eastAsia="仿宋"/>
          <w:sz w:val="32"/>
          <w:szCs w:val="32"/>
        </w:rPr>
        <w:t>切实落实好党的政策，让棉麻公司退休人员充分享受到社会经济发展成果。截至12月底，棉麻公司退休人员县级财政补助资金到位32.54万元。</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仿宋" w:hAnsi="仿宋" w:eastAsia="仿宋"/>
          <w:spacing w:val="-4"/>
          <w:sz w:val="32"/>
          <w:szCs w:val="32"/>
        </w:rPr>
        <w:t>（二）项目预算</w:t>
      </w:r>
      <w:r>
        <w:rPr>
          <w:rStyle w:val="18"/>
          <w:rFonts w:ascii="仿宋" w:hAnsi="仿宋" w:eastAsia="仿宋"/>
          <w:spacing w:val="-4"/>
          <w:sz w:val="32"/>
          <w:szCs w:val="32"/>
        </w:rPr>
        <w:t>绩效目</w:t>
      </w:r>
      <w:r>
        <w:rPr>
          <w:rStyle w:val="18"/>
          <w:rFonts w:ascii="楷体" w:hAnsi="楷体" w:eastAsia="楷体"/>
          <w:spacing w:val="-4"/>
          <w:sz w:val="32"/>
          <w:szCs w:val="32"/>
        </w:rPr>
        <w:t>标</w:t>
      </w:r>
      <w:r>
        <w:rPr>
          <w:rStyle w:val="18"/>
          <w:rFonts w:hint="eastAsia" w:ascii="楷体" w:hAnsi="楷体" w:eastAsia="楷体"/>
          <w:spacing w:val="-4"/>
          <w:sz w:val="32"/>
          <w:szCs w:val="32"/>
        </w:rPr>
        <w:t>设定情况</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spacing w:line="560" w:lineRule="exact"/>
        <w:ind w:firstLine="640" w:firstLineChars="200"/>
        <w:rPr>
          <w:rFonts w:ascii="仿宋" w:hAnsi="仿宋" w:eastAsia="仿宋"/>
          <w:sz w:val="32"/>
          <w:szCs w:val="32"/>
        </w:rPr>
      </w:pPr>
      <w:r>
        <w:rPr>
          <w:rFonts w:hint="eastAsia" w:ascii="仿宋_GB2312" w:hAnsi="仿宋" w:eastAsia="仿宋_GB2312"/>
          <w:sz w:val="32"/>
          <w:szCs w:val="32"/>
        </w:rPr>
        <w:t>通过保障棉麻公司退休人员医疗费，保障棉麻公司退休人员病有所医，确保棉麻公司退休人员有最基本的医疗保障。</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pStyle w:val="49"/>
        <w:spacing w:line="560" w:lineRule="exact"/>
        <w:ind w:firstLine="640"/>
        <w:rPr>
          <w:rFonts w:ascii="仿宋_GB2312" w:hAnsi="黑体" w:eastAsia="仿宋_GB2312"/>
          <w:b/>
          <w:sz w:val="32"/>
          <w:szCs w:val="32"/>
        </w:rPr>
      </w:pPr>
      <w:r>
        <w:rPr>
          <w:rFonts w:hint="eastAsia" w:ascii="仿宋_GB2312" w:hAnsi="黑体" w:eastAsia="仿宋_GB2312"/>
          <w:sz w:val="32"/>
          <w:szCs w:val="32"/>
        </w:rPr>
        <w:t>该项目为补助资金类项目，不属于立项项目范围</w:t>
      </w:r>
      <w:r>
        <w:rPr>
          <w:rFonts w:hint="eastAsia" w:ascii="仿宋_GB2312" w:hAnsi="黑体" w:eastAsia="仿宋_GB2312"/>
          <w:b/>
          <w:sz w:val="32"/>
          <w:szCs w:val="32"/>
        </w:rPr>
        <w:t>。</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spacing w:line="560" w:lineRule="exact"/>
        <w:ind w:firstLine="640" w:firstLineChars="200"/>
        <w:rPr>
          <w:rFonts w:ascii="仿宋" w:hAnsi="仿宋" w:eastAsia="仿宋"/>
          <w:sz w:val="32"/>
          <w:szCs w:val="32"/>
        </w:rPr>
      </w:pPr>
      <w:r>
        <w:rPr>
          <w:rFonts w:hint="eastAsia" w:ascii="仿宋_GB2312" w:hAnsi="仿宋" w:eastAsia="仿宋_GB2312"/>
          <w:sz w:val="32"/>
          <w:szCs w:val="32"/>
        </w:rPr>
        <w:t>棉麻公司退休人员医疗费</w:t>
      </w:r>
      <w:r>
        <w:rPr>
          <w:rFonts w:hint="eastAsia" w:ascii="仿宋" w:hAnsi="仿宋" w:eastAsia="仿宋"/>
          <w:bCs/>
          <w:spacing w:val="-4"/>
          <w:sz w:val="32"/>
          <w:szCs w:val="32"/>
        </w:rPr>
        <w:t>项目，</w:t>
      </w:r>
      <w:r>
        <w:rPr>
          <w:rFonts w:hint="eastAsia" w:ascii="仿宋" w:hAnsi="仿宋" w:eastAsia="仿宋"/>
          <w:sz w:val="32"/>
          <w:szCs w:val="32"/>
        </w:rPr>
        <w:t>用于棉麻公司退休人员缴纳城镇职工基本医疗保险费支出，</w:t>
      </w:r>
      <w:r>
        <w:rPr>
          <w:rFonts w:hint="eastAsia" w:ascii="仿宋_GB2312" w:hAnsi="仿宋" w:eastAsia="仿宋_GB2312"/>
          <w:sz w:val="32"/>
          <w:szCs w:val="32"/>
        </w:rPr>
        <w:t>解决棉麻公司退休人员看病、就医问题。</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1、项目预算安排情况:</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2018年根据上年资金支出情况，安排棉麻公司退休人员医疗费财政补助资金，到位32.54万元。</w:t>
      </w:r>
    </w:p>
    <w:p>
      <w:pPr>
        <w:spacing w:line="560" w:lineRule="exact"/>
        <w:ind w:firstLine="640" w:firstLineChars="200"/>
        <w:rPr>
          <w:rFonts w:ascii="仿宋_GB2312" w:hAnsi="仿宋" w:eastAsia="仿宋_GB2312"/>
          <w:sz w:val="32"/>
          <w:szCs w:val="32"/>
        </w:rPr>
      </w:pPr>
      <w:r>
        <w:rPr>
          <w:rFonts w:hint="eastAsia" w:ascii="仿宋_GB2312" w:hAnsi="仿宋" w:eastAsia="仿宋_GB2312"/>
          <w:bCs/>
          <w:sz w:val="32"/>
          <w:szCs w:val="32"/>
        </w:rPr>
        <w:t>2、项目实际支出情况:</w:t>
      </w:r>
      <w:r>
        <w:rPr>
          <w:rFonts w:hint="eastAsia" w:ascii="仿宋_GB2312" w:hAnsi="仿宋" w:eastAsia="仿宋_GB2312"/>
          <w:sz w:val="32"/>
          <w:szCs w:val="32"/>
        </w:rPr>
        <w:t xml:space="preserve"> </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截至12月底享受棉麻公司退休人员101人，缴纳医疗保险费用，保障率100%。</w:t>
      </w:r>
    </w:p>
    <w:p>
      <w:pPr>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棉麻公司退休人员医疗保费项目2018年我县拨入32.54万元，截止12月支出用于棉麻公司退休人员医疗费缴费23.21万元，保障率100%。用于保障退休人员缴费用后在定点医疗机构发生的符合规定的住院医疗费用、普通门诊费用，按照基本医疗保险药品目录给予按比例及时结算。</w:t>
      </w:r>
    </w:p>
    <w:p>
      <w:pPr>
        <w:spacing w:line="560" w:lineRule="exact"/>
        <w:rPr>
          <w:rFonts w:ascii="仿宋_GB2312" w:hAnsi="仿宋" w:eastAsia="仿宋_GB2312"/>
          <w:sz w:val="32"/>
          <w:szCs w:val="32"/>
        </w:rPr>
      </w:pP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spacing w:line="560" w:lineRule="exact"/>
        <w:ind w:firstLine="640" w:firstLineChars="200"/>
        <w:rPr>
          <w:rFonts w:ascii="仿宋" w:hAnsi="仿宋" w:eastAsia="仿宋"/>
          <w:sz w:val="32"/>
          <w:szCs w:val="32"/>
        </w:rPr>
      </w:pPr>
      <w:r>
        <w:rPr>
          <w:rFonts w:hint="eastAsia" w:ascii="仿宋_GB2312" w:hAnsi="仿宋" w:eastAsia="仿宋_GB2312"/>
          <w:sz w:val="32"/>
          <w:szCs w:val="32"/>
        </w:rPr>
        <w:t>棉麻公司退休人员医疗保费项目</w:t>
      </w:r>
      <w:r>
        <w:rPr>
          <w:rFonts w:hint="eastAsia" w:ascii="仿宋" w:hAnsi="仿宋" w:eastAsia="仿宋"/>
          <w:sz w:val="32"/>
          <w:szCs w:val="32"/>
        </w:rPr>
        <w:t>的管理与运行，严格按照《社会保险基金财务制度》、《社会保险基金会计制度》进行会计核算，完善内部各项财务管理制度，建立了良好的财务工作秩序，实现了财务工作的规范化、制度化、科学化。完全按照支出户要求管理，分账核算。</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该项目资金使用时由财政局拨至我局医疗费支出户中，为确保资金安全，实际划入时，经我局征收业务股室对符合享受条件的业务进行核定、计划，汇总后，经科长复核、领导签字后，划入基金统一收入户中征收。</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adjustRightInd w:val="0"/>
        <w:snapToGrid w:val="0"/>
        <w:spacing w:line="560"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本项目不存在投标情况、调整情况、验收等方面情况。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年初单位就将绩效考核纳入到年底个人考核标准的一项指标，并建立了考核标准及规则制度，具体过程由本单位办公室负责督办，各科室</w:t>
      </w:r>
      <w:r>
        <w:rPr>
          <w:rFonts w:hint="eastAsia" w:ascii="仿宋_GB2312" w:hAnsi="仿宋" w:eastAsia="仿宋_GB2312" w:cs="仿宋"/>
          <w:sz w:val="32"/>
          <w:szCs w:val="32"/>
        </w:rPr>
        <w:t>各岗位互相监督检查等</w:t>
      </w:r>
      <w:r>
        <w:rPr>
          <w:rFonts w:hint="eastAsia" w:ascii="仿宋_GB2312" w:hAnsi="仿宋" w:eastAsia="仿宋_GB2312"/>
          <w:sz w:val="32"/>
          <w:szCs w:val="32"/>
        </w:rPr>
        <w:t>。通过开展绩效自评，从中总结出医疗保险业务工作中存在的问题，并加以整改落实，促使医疗支付工作的顺利开展。</w:t>
      </w:r>
    </w:p>
    <w:p>
      <w:pPr>
        <w:adjustRightInd w:val="0"/>
        <w:snapToGrid w:val="0"/>
        <w:spacing w:line="560" w:lineRule="exact"/>
        <w:ind w:firstLine="624" w:firstLineChars="200"/>
        <w:outlineLvl w:val="0"/>
        <w:rPr>
          <w:rStyle w:val="18"/>
          <w:rFonts w:ascii="黑体" w:hAnsi="黑体" w:eastAsia="黑体"/>
        </w:rPr>
      </w:pPr>
      <w:r>
        <w:rPr>
          <w:rStyle w:val="18"/>
          <w:rFonts w:hint="eastAsia" w:ascii="黑体" w:hAnsi="黑体" w:eastAsia="黑体"/>
          <w:b w:val="0"/>
          <w:spacing w:val="-4"/>
          <w:sz w:val="32"/>
          <w:szCs w:val="32"/>
        </w:rPr>
        <w:t>四、项目绩效情况</w:t>
      </w:r>
    </w:p>
    <w:p>
      <w:pPr>
        <w:adjustRightInd w:val="0"/>
        <w:snapToGrid w:val="0"/>
        <w:spacing w:line="560" w:lineRule="exact"/>
        <w:ind w:firstLine="627" w:firstLineChars="200"/>
        <w:outlineLvl w:val="0"/>
        <w:rPr>
          <w:rStyle w:val="18"/>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spacing w:line="560" w:lineRule="exact"/>
        <w:ind w:firstLine="640" w:firstLineChars="200"/>
        <w:rPr>
          <w:rFonts w:ascii="仿宋_GB2312" w:hAnsi="仿宋" w:eastAsia="仿宋_GB2312"/>
          <w:sz w:val="32"/>
          <w:szCs w:val="32"/>
        </w:rPr>
      </w:pPr>
      <w:r>
        <w:rPr>
          <w:rFonts w:hint="eastAsia" w:ascii="仿宋" w:hAnsi="仿宋" w:eastAsia="仿宋"/>
          <w:sz w:val="32"/>
          <w:szCs w:val="32"/>
        </w:rPr>
        <w:t>1、</w:t>
      </w:r>
      <w:r>
        <w:rPr>
          <w:rFonts w:hint="eastAsia" w:ascii="仿宋_GB2312" w:hAnsi="仿宋" w:eastAsia="仿宋_GB2312" w:cs="仿宋"/>
          <w:sz w:val="32"/>
          <w:szCs w:val="32"/>
        </w:rPr>
        <w:t>棉麻公司退休人员医疗费2018年已完成按预算资金32.54万元拨付，</w:t>
      </w:r>
      <w:r>
        <w:rPr>
          <w:rFonts w:hint="eastAsia" w:ascii="仿宋_GB2312" w:hAnsi="仿宋" w:eastAsia="仿宋_GB2312"/>
          <w:sz w:val="32"/>
          <w:szCs w:val="32"/>
        </w:rPr>
        <w:t>加大棉麻公司退休人员医疗费保障力度，提高社保政策知晓率，保障棉麻公司退休人员医疗费，做到应保尽保。</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2、通过保障医疗费，严格按照医疗政策，确保棉麻公司退休人员医疗费在定点医疗机构发生的符合规定的住院医疗费用、普通门诊费用按照基本医疗保险药品目录给予及时结算。</w:t>
      </w:r>
    </w:p>
    <w:p>
      <w:pPr>
        <w:spacing w:line="56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rPr>
        <w:t>棉麻公司退休人员医疗费项目实施后，有效保障棉麻公司退休人员医疗待遇，减轻棉麻公司退休人员看病的经济压力。</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2018年本项目绩效目标不存在未完成情况</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绩效自评工作相当于一年的工作总结，但不仅仅像工作总结一样只限于文字性的自我分析，更注重的从实践中得到的具体数字来分析工作中存在优劣问题，从中加以扬长避短，在以后更好的完成棉麻公司退休人员医疗支付工作。</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1、主要经验及做法：</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在工作中及时了解棉麻公司退休人员生活情况，宣传好医疗保险相关政策，落实好医疗费用保障，及时结算费用，做好后续治疗保障。</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2、存在的问题：</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棉麻公司退休人员基本医疗费按时划缴，但是大病医疗缴费，有时不够及时，造成统筹划转个人账户不及时。</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建议：及时做好督促退休人员缴纳大病医疗费，保障统筹及时划转个人账户，提前做好医疗保险保费缴纳保障的及时性。</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18"/>
          <w:rFonts w:hint="eastAsia" w:ascii="黑体" w:hAnsi="黑体" w:eastAsia="黑体"/>
          <w:b w:val="0"/>
          <w:spacing w:val="-4"/>
          <w:sz w:val="32"/>
          <w:szCs w:val="32"/>
        </w:rPr>
        <w:t>六、项目评价工作情况</w:t>
      </w:r>
    </w:p>
    <w:p>
      <w:pPr>
        <w:adjustRightInd w:val="0"/>
        <w:snapToGri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本次评价通过文件研读、数据分析等方式，全面了解离休医疗保险项目资金的使用效率和效果，进一步规范项目管理使用过程，完成预期绩效目标等。通过分析，更注重具体数字来分析工作中存在优劣问题，从中加以扬长避短，更好完成今后棉麻公司退休人员医疗支付工作。同时，通过开展自我评价来总结经验和教训，为我县棉麻公司退休人员医疗保险项目今后的开展提供参考建议。</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《项目支出绩效目标自评表》</w:t>
      </w:r>
    </w:p>
    <w:p>
      <w:pPr>
        <w:adjustRightInd w:val="0"/>
        <w:snapToGrid w:val="0"/>
        <w:spacing w:line="560" w:lineRule="exact"/>
        <w:rPr>
          <w:rStyle w:val="18"/>
          <w:rFonts w:ascii="仿宋" w:hAnsi="仿宋" w:eastAsia="仿宋"/>
          <w:b w:val="0"/>
          <w:spacing w:val="-4"/>
          <w:sz w:val="32"/>
          <w:szCs w:val="32"/>
        </w:rPr>
      </w:pPr>
    </w:p>
    <w:p>
      <w:pPr>
        <w:adjustRightInd w:val="0"/>
        <w:snapToGrid w:val="0"/>
        <w:spacing w:line="560" w:lineRule="exact"/>
        <w:rPr>
          <w:rStyle w:val="18"/>
          <w:rFonts w:ascii="仿宋" w:hAnsi="仿宋" w:eastAsia="仿宋"/>
          <w:b w:val="0"/>
          <w:spacing w:val="-4"/>
          <w:sz w:val="32"/>
          <w:szCs w:val="32"/>
        </w:rPr>
      </w:pPr>
    </w:p>
    <w:p>
      <w:pPr>
        <w:adjustRightInd w:val="0"/>
        <w:snapToGrid w:val="0"/>
        <w:spacing w:line="560" w:lineRule="exact"/>
        <w:rPr>
          <w:rStyle w:val="18"/>
          <w:rFonts w:ascii="仿宋" w:hAnsi="仿宋" w:eastAsia="仿宋"/>
          <w:b w:val="0"/>
          <w:spacing w:val="-4"/>
          <w:sz w:val="32"/>
          <w:szCs w:val="32"/>
        </w:rPr>
      </w:pPr>
    </w:p>
    <w:p>
      <w:pPr>
        <w:adjustRightInd w:val="0"/>
        <w:snapToGrid w:val="0"/>
        <w:spacing w:line="560" w:lineRule="exact"/>
        <w:rPr>
          <w:rStyle w:val="18"/>
          <w:rFonts w:ascii="仿宋" w:hAnsi="仿宋" w:eastAsia="仿宋"/>
          <w:b w:val="0"/>
          <w:spacing w:val="-4"/>
          <w:sz w:val="32"/>
          <w:szCs w:val="32"/>
        </w:rPr>
      </w:pPr>
    </w:p>
    <w:p>
      <w:pPr>
        <w:pStyle w:val="49"/>
        <w:spacing w:line="560" w:lineRule="exact"/>
        <w:ind w:firstLine="4160" w:firstLineChars="1300"/>
        <w:rPr>
          <w:rFonts w:ascii="仿宋_GB2312" w:hAnsi="仿宋" w:eastAsia="仿宋_GB2312"/>
          <w:sz w:val="32"/>
          <w:szCs w:val="32"/>
        </w:rPr>
      </w:pPr>
      <w:r>
        <w:rPr>
          <w:rFonts w:hint="eastAsia" w:ascii="仿宋_GB2312" w:hAnsi="仿宋" w:eastAsia="仿宋_GB2312"/>
          <w:sz w:val="32"/>
          <w:szCs w:val="32"/>
        </w:rPr>
        <w:t>泽普县劳动就业保险管理局</w:t>
      </w:r>
    </w:p>
    <w:p>
      <w:pPr>
        <w:pStyle w:val="49"/>
        <w:spacing w:line="560" w:lineRule="exact"/>
        <w:ind w:firstLine="4800" w:firstLineChars="1500"/>
        <w:rPr>
          <w:rStyle w:val="18"/>
          <w:rFonts w:ascii="仿宋_GB2312" w:hAnsi="仿宋" w:eastAsia="仿宋_GB2312"/>
          <w:b w:val="0"/>
          <w:bCs w:val="0"/>
          <w:sz w:val="32"/>
          <w:szCs w:val="32"/>
        </w:rPr>
      </w:pPr>
      <w:r>
        <w:rPr>
          <w:rFonts w:hint="eastAsia" w:ascii="仿宋_GB2312" w:hAnsi="仿宋" w:eastAsia="仿宋_GB2312"/>
          <w:sz w:val="32"/>
          <w:szCs w:val="32"/>
        </w:rPr>
        <w:t xml:space="preserve"> 2018年12月</w:t>
      </w:r>
      <w:r>
        <w:rPr>
          <w:rFonts w:hint="eastAsia" w:ascii="仿宋_GB2312" w:hAnsi="仿宋" w:eastAsia="仿宋_GB2312"/>
          <w:sz w:val="32"/>
          <w:szCs w:val="32"/>
          <w:lang w:val="en-US" w:eastAsia="zh-CN"/>
        </w:rPr>
        <w:t>25</w:t>
      </w:r>
      <w:bookmarkStart w:id="0" w:name="_GoBack"/>
      <w:bookmarkEnd w:id="0"/>
      <w:r>
        <w:rPr>
          <w:rFonts w:hint="eastAsia" w:ascii="仿宋_GB2312" w:hAnsi="仿宋" w:eastAsia="仿宋_GB2312"/>
          <w:sz w:val="32"/>
          <w:szCs w:val="32"/>
        </w:rPr>
        <w:t>日</w:t>
      </w:r>
    </w:p>
    <w:sectPr>
      <w:headerReference r:id="rId3" w:type="default"/>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panose1 w:val="020B0604020202020204"/>
    <w:charset w:val="86"/>
    <w:family w:val="roman"/>
    <w:pitch w:val="default"/>
    <w:sig w:usb0="FFFFFFFF" w:usb1="E9FFFFFF" w:usb2="0000003F" w:usb3="00000000" w:csb0="603F01FF" w:csb1="FFFF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50D30"/>
    <w:rsid w:val="000D48A1"/>
    <w:rsid w:val="000F40CC"/>
    <w:rsid w:val="0012208E"/>
    <w:rsid w:val="00135256"/>
    <w:rsid w:val="00176A0B"/>
    <w:rsid w:val="00181421"/>
    <w:rsid w:val="00194B35"/>
    <w:rsid w:val="001A4E1F"/>
    <w:rsid w:val="001A57B9"/>
    <w:rsid w:val="001C3847"/>
    <w:rsid w:val="001E5826"/>
    <w:rsid w:val="001E61DE"/>
    <w:rsid w:val="001F3031"/>
    <w:rsid w:val="00210A26"/>
    <w:rsid w:val="00215491"/>
    <w:rsid w:val="002537C6"/>
    <w:rsid w:val="002A2532"/>
    <w:rsid w:val="002A2D76"/>
    <w:rsid w:val="002E464F"/>
    <w:rsid w:val="00365250"/>
    <w:rsid w:val="0036624C"/>
    <w:rsid w:val="00385849"/>
    <w:rsid w:val="003B6AFF"/>
    <w:rsid w:val="00461EA6"/>
    <w:rsid w:val="00482204"/>
    <w:rsid w:val="004F2840"/>
    <w:rsid w:val="0050167F"/>
    <w:rsid w:val="00514506"/>
    <w:rsid w:val="005162F1"/>
    <w:rsid w:val="00516E80"/>
    <w:rsid w:val="00535153"/>
    <w:rsid w:val="00545030"/>
    <w:rsid w:val="00575CFE"/>
    <w:rsid w:val="00583AFC"/>
    <w:rsid w:val="00592D09"/>
    <w:rsid w:val="005B1359"/>
    <w:rsid w:val="00627B57"/>
    <w:rsid w:val="0064534D"/>
    <w:rsid w:val="00675D58"/>
    <w:rsid w:val="00676995"/>
    <w:rsid w:val="006D1CD1"/>
    <w:rsid w:val="006F0DCC"/>
    <w:rsid w:val="006F2E6D"/>
    <w:rsid w:val="007218B8"/>
    <w:rsid w:val="00736BB9"/>
    <w:rsid w:val="00745163"/>
    <w:rsid w:val="00755C6A"/>
    <w:rsid w:val="00785FDE"/>
    <w:rsid w:val="007A0351"/>
    <w:rsid w:val="007A14BC"/>
    <w:rsid w:val="007C1025"/>
    <w:rsid w:val="007E6845"/>
    <w:rsid w:val="007F431F"/>
    <w:rsid w:val="007F5F8A"/>
    <w:rsid w:val="00826CA1"/>
    <w:rsid w:val="00835B7F"/>
    <w:rsid w:val="00855E3A"/>
    <w:rsid w:val="00863C8B"/>
    <w:rsid w:val="0087499E"/>
    <w:rsid w:val="008F0663"/>
    <w:rsid w:val="00922CB9"/>
    <w:rsid w:val="009350F7"/>
    <w:rsid w:val="009828B8"/>
    <w:rsid w:val="009A7442"/>
    <w:rsid w:val="009B526F"/>
    <w:rsid w:val="009C1AFD"/>
    <w:rsid w:val="00A116E6"/>
    <w:rsid w:val="00A26421"/>
    <w:rsid w:val="00A4293B"/>
    <w:rsid w:val="00A83BD5"/>
    <w:rsid w:val="00A977DF"/>
    <w:rsid w:val="00AC1FD8"/>
    <w:rsid w:val="00AE6A23"/>
    <w:rsid w:val="00B06CA5"/>
    <w:rsid w:val="00B41F61"/>
    <w:rsid w:val="00B52EA6"/>
    <w:rsid w:val="00B55332"/>
    <w:rsid w:val="00B86E8C"/>
    <w:rsid w:val="00BE1A00"/>
    <w:rsid w:val="00C22CF0"/>
    <w:rsid w:val="00C24BBF"/>
    <w:rsid w:val="00C4640F"/>
    <w:rsid w:val="00C56C72"/>
    <w:rsid w:val="00C74BE7"/>
    <w:rsid w:val="00CA6457"/>
    <w:rsid w:val="00CC6E4D"/>
    <w:rsid w:val="00CF1CBF"/>
    <w:rsid w:val="00D17F2E"/>
    <w:rsid w:val="00D25E7A"/>
    <w:rsid w:val="00D44C57"/>
    <w:rsid w:val="00D46194"/>
    <w:rsid w:val="00D97B52"/>
    <w:rsid w:val="00DE1923"/>
    <w:rsid w:val="00E01293"/>
    <w:rsid w:val="00E027D1"/>
    <w:rsid w:val="00E10B7A"/>
    <w:rsid w:val="00E2118D"/>
    <w:rsid w:val="00E24533"/>
    <w:rsid w:val="00E769FE"/>
    <w:rsid w:val="00EA2CBE"/>
    <w:rsid w:val="00EE0CB2"/>
    <w:rsid w:val="00F20012"/>
    <w:rsid w:val="00F32FEE"/>
    <w:rsid w:val="00F53E69"/>
    <w:rsid w:val="00F847F1"/>
    <w:rsid w:val="00FE3E3E"/>
    <w:rsid w:val="645159C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qFormat/>
    <w:uiPriority w:val="9"/>
    <w:rPr>
      <w:rFonts w:asciiTheme="majorHAnsi" w:hAnsiTheme="majorHAnsi" w:eastAsiaTheme="majorEastAsia"/>
      <w:b/>
      <w:bCs/>
      <w:kern w:val="32"/>
      <w:sz w:val="32"/>
      <w:szCs w:val="32"/>
    </w:rPr>
  </w:style>
  <w:style w:type="character" w:customStyle="1" w:styleId="22">
    <w:name w:val="标题 2 Char"/>
    <w:basedOn w:val="17"/>
    <w:link w:val="3"/>
    <w:semiHidden/>
    <w:uiPriority w:val="9"/>
    <w:rPr>
      <w:rFonts w:asciiTheme="majorHAnsi" w:hAnsiTheme="majorHAnsi" w:eastAsiaTheme="majorEastAsia"/>
      <w:b/>
      <w:bCs/>
      <w:i/>
      <w:iCs/>
      <w:sz w:val="28"/>
      <w:szCs w:val="28"/>
    </w:rPr>
  </w:style>
  <w:style w:type="character" w:customStyle="1" w:styleId="23">
    <w:name w:val="标题 3 Char"/>
    <w:basedOn w:val="17"/>
    <w:link w:val="4"/>
    <w:semiHidden/>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Subtle Emphasis"/>
    <w:qFormat/>
    <w:uiPriority w:val="19"/>
    <w:rPr>
      <w:i/>
      <w:color w:val="595959" w:themeColor="text1" w:themeTint="A5"/>
    </w:rPr>
  </w:style>
  <w:style w:type="character" w:customStyle="1" w:styleId="39">
    <w:name w:val="Intense Emphasis"/>
    <w:basedOn w:val="17"/>
    <w:qFormat/>
    <w:uiPriority w:val="21"/>
    <w:rPr>
      <w:b/>
      <w:i/>
      <w:sz w:val="24"/>
      <w:szCs w:val="24"/>
      <w:u w:val="single"/>
    </w:rPr>
  </w:style>
  <w:style w:type="character" w:customStyle="1" w:styleId="40">
    <w:name w:val="Subtle Reference"/>
    <w:basedOn w:val="17"/>
    <w:qFormat/>
    <w:uiPriority w:val="31"/>
    <w:rPr>
      <w:sz w:val="24"/>
      <w:szCs w:val="24"/>
      <w:u w:val="single"/>
    </w:rPr>
  </w:style>
  <w:style w:type="character" w:customStyle="1" w:styleId="41">
    <w:name w:val="Intense Reference"/>
    <w:basedOn w:val="17"/>
    <w:qFormat/>
    <w:uiPriority w:val="32"/>
    <w:rPr>
      <w:b/>
      <w:sz w:val="24"/>
      <w:u w:val="single"/>
    </w:rPr>
  </w:style>
  <w:style w:type="character" w:customStyle="1" w:styleId="42">
    <w:name w:val="Book Title"/>
    <w:basedOn w:val="17"/>
    <w:qFormat/>
    <w:uiPriority w:val="33"/>
    <w:rPr>
      <w:rFonts w:asciiTheme="majorHAnsi" w:hAnsiTheme="majorHAnsi" w:eastAsiaTheme="majorEastAsia"/>
      <w:b/>
      <w:i/>
      <w:sz w:val="24"/>
      <w:szCs w:val="24"/>
    </w:rPr>
  </w:style>
  <w:style w:type="paragraph" w:customStyle="1" w:styleId="43">
    <w:name w:val="TOC Heading"/>
    <w:basedOn w:val="2"/>
    <w:next w:val="1"/>
    <w:semiHidden/>
    <w:unhideWhenUsed/>
    <w:qFormat/>
    <w:uiPriority w:val="39"/>
    <w:pPr>
      <w:outlineLvl w:val="9"/>
    </w:pPr>
    <w:rPr>
      <w:lang w:eastAsia="en-US" w:bidi="en-US"/>
    </w:rPr>
  </w:style>
  <w:style w:type="character" w:customStyle="1" w:styleId="44">
    <w:name w:val="页眉 Char"/>
    <w:basedOn w:val="17"/>
    <w:link w:val="14"/>
    <w:uiPriority w:val="99"/>
    <w:rPr>
      <w:rFonts w:ascii="Calibri" w:hAnsi="Calibri" w:eastAsia="宋体"/>
      <w:kern w:val="2"/>
      <w:sz w:val="18"/>
      <w:szCs w:val="18"/>
    </w:rPr>
  </w:style>
  <w:style w:type="character" w:customStyle="1" w:styleId="45">
    <w:name w:val="页脚 Char"/>
    <w:basedOn w:val="17"/>
    <w:link w:val="13"/>
    <w:uiPriority w:val="99"/>
    <w:rPr>
      <w:rFonts w:ascii="Calibri" w:hAnsi="Calibri" w:eastAsia="宋体"/>
      <w:kern w:val="2"/>
      <w:sz w:val="18"/>
      <w:szCs w:val="18"/>
    </w:rPr>
  </w:style>
  <w:style w:type="character" w:customStyle="1" w:styleId="46">
    <w:name w:val="文档结构图 Char"/>
    <w:basedOn w:val="17"/>
    <w:link w:val="11"/>
    <w:semiHidden/>
    <w:qFormat/>
    <w:uiPriority w:val="99"/>
    <w:rPr>
      <w:rFonts w:ascii="宋体" w:hAnsi="Times New Roman" w:eastAsia="宋体"/>
      <w:kern w:val="2"/>
      <w:sz w:val="18"/>
      <w:szCs w:val="18"/>
    </w:rPr>
  </w:style>
  <w:style w:type="character" w:customStyle="1" w:styleId="47">
    <w:name w:val="批注框文本 Char"/>
    <w:basedOn w:val="17"/>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pBdr>
        <w:top w:val="none" w:color="auto" w:sz="0" w:space="0"/>
        <w:left w:val="none" w:color="auto" w:sz="0" w:space="0"/>
        <w:bottom w:val="none" w:color="auto" w:sz="0" w:space="0"/>
        <w:right w:val="none" w:color="auto" w:sz="0" w:space="0"/>
        <w:between w:val="none" w:color="auto" w:sz="0" w:space="0"/>
      </w:pBdr>
      <w:spacing w:after="0" w:line="240" w:lineRule="auto"/>
      <w:jc w:val="both"/>
    </w:pPr>
    <w:rPr>
      <w:rFonts w:ascii="Arial Unicode MS" w:hAnsi="Arial Unicode MS" w:eastAsia="Arial Unicode MS" w:cs="Arial Unicode MS"/>
      <w:color w:val="000000"/>
      <w:kern w:val="2"/>
      <w:sz w:val="21"/>
      <w:szCs w:val="21"/>
      <w:u w:color="000000"/>
      <w:lang w:val="en-US" w:eastAsia="zh-CN" w:bidi="ar-SA"/>
    </w:rPr>
  </w:style>
  <w:style w:type="paragraph" w:customStyle="1" w:styleId="49">
    <w:name w:val="列出段落1"/>
    <w:basedOn w:val="1"/>
    <w:qFormat/>
    <w:uiPriority w:val="0"/>
    <w:pPr>
      <w:ind w:firstLine="420" w:firstLineChars="200"/>
    </w:pPr>
    <w:rPr>
      <w:rFonts w:ascii="Calibri" w:hAnsi="Calibri"/>
      <w:szCs w:val="22"/>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customXml/item2.xml" Type="http://schemas.openxmlformats.org/officeDocument/2006/relationships/customXml"/><Relationship Id="rId8"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_rels/item2.xml.rels><?xml version="1.0" encoding="UTF-8" standalone="no"?><Relationships xmlns="http://schemas.openxmlformats.org/package/2006/relationships"><Relationship Id="rId1" Target="itemProps2.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63CB0D-4D1F-450A-8DF2-DA7730D9398A}">
  <ds:schemaRefs/>
</ds:datastoreItem>
</file>

<file path=docProps/app.xml><?xml version="1.0" encoding="utf-8"?>
<Properties xmlns="http://schemas.openxmlformats.org/officeDocument/2006/extended-properties" xmlns:vt="http://schemas.openxmlformats.org/officeDocument/2006/docPropsVTypes">
  <Template>Normal</Template>
  <Pages>6</Pages>
  <Words>326</Words>
  <Characters>1861</Characters>
  <Lines>15</Lines>
  <Paragraphs>4</Paragraphs>
  <TotalTime>240</TotalTime>
  <ScaleCrop>false</ScaleCrop>
  <LinksUpToDate>false</LinksUpToDate>
  <CharactersWithSpaces>2183</CharactersWithSpaces>
  <Application>WPS Office_10.1.0.7668_F1E327BC-269C-435d-A152-05C5408002CA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2018-12-17T10:14:00Z</dcterms:created>
  <dc:creator>赵 恺（预算处）</dc:creator>
  <cp:lastModifiedBy>军15099010608</cp:lastModifiedBy>
  <cp:lastPrinted>2018-12-17T10:15:00Z</cp:lastPrinted>
  <dcterms:modified xsi:type="dcterms:W3CDTF">2019-01-26T05:45:41Z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2052-10.1.0.7668</vt:lpwstr>
  </property>
</Properties>
</file>