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" w:cs="宋体"/>
          <w:kern w:val="0"/>
          <w:sz w:val="36"/>
          <w:szCs w:val="36"/>
          <w:lang w:val="en-US" w:eastAsia="zh-CN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项目名称：其他公共卫生支出项目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(</w:t>
      </w:r>
      <w:r>
        <w:rPr>
          <w:rFonts w:hint="eastAsia" w:ascii="仿宋" w:hAnsi="仿宋" w:eastAsia="仿宋" w:cs="仿宋"/>
          <w:kern w:val="0"/>
          <w:sz w:val="36"/>
          <w:szCs w:val="36"/>
          <w:lang w:val="zh-TW"/>
        </w:rPr>
        <w:t>全民免费健康体检项目</w:t>
      </w:r>
      <w:r>
        <w:rPr>
          <w:rFonts w:hint="eastAsia" w:ascii="仿宋" w:hAnsi="仿宋" w:eastAsia="仿宋" w:cs="仿宋"/>
          <w:kern w:val="0"/>
          <w:sz w:val="36"/>
          <w:szCs w:val="36"/>
          <w:lang w:val="en-US" w:eastAsia="zh-CN"/>
        </w:rPr>
        <w:t>)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实施单位（公章）：泽普县各乡镇卫生院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主管部门（公章）：泽普县卫生局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 吐松古丽·艾热凯西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Ansi="宋体" w:eastAsia="仿宋_GB2312" w:cs="宋体"/>
          <w:kern w:val="0"/>
          <w:sz w:val="36"/>
          <w:szCs w:val="36"/>
        </w:rPr>
        <w:t xml:space="preserve"> 12 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 xml:space="preserve"> 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民健康体检工作由乡镇卫生院具体负责承担，村卫生室配合做好健康体检工作，村级不设体检点。在校学生（含高校）健康体检工作由教育局和卫生局确定的医疗卫生机构完成。各主体体检机构要按照“医检分开、相对独立”的原则，规范设置体检场地，制定体检工作进度计划表，明确每日体检人群，确保体检工作按进度计划进行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县人民医院负责各场所的人员体检工作。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Style w:val="17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对边远乡村和山区居民、在校学生（含高校）等特殊群体、年老体弱、行动不便人员，可采取流动体检车或体检小分队开展上门体检的办法</w:t>
      </w:r>
      <w:r>
        <w:rPr>
          <w:rStyle w:val="17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。</w:t>
      </w:r>
    </w:p>
    <w:p>
      <w:pPr>
        <w:numPr>
          <w:ilvl w:val="0"/>
          <w:numId w:val="1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92" w:firstLineChars="22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项目预算绩效目标设定情况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项目预期目标及阶段性目标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对危害群众健康的各类疾病做到“早发现、早诊断、早预防、早治疗”。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项目基本性质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本项目性质为延续。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全面掌握城乡居民健康状况，分析影响城乡居民健康的主要因素，制定科学准确的疾病谱，建立完备、适用的城乡居民健康档案，对危害群众健康的各类疾病做到“早发现、早诊断、早预防、早治疗”。</w:t>
      </w:r>
    </w:p>
    <w:p>
      <w:pPr>
        <w:numPr>
          <w:ilvl w:val="0"/>
          <w:numId w:val="3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项目资金使用及管理情况</w:t>
      </w:r>
    </w:p>
    <w:p>
      <w:pPr>
        <w:numPr>
          <w:ilvl w:val="0"/>
          <w:numId w:val="4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项目资金安排落实、总投入等情况分析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全民健康体检项目预算安排总额为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346.6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万元，其中自治区财政资金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346.6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万元，上年结余预算资金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346.6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万元。</w:t>
      </w:r>
    </w:p>
    <w:p>
      <w:pPr>
        <w:numPr>
          <w:ilvl w:val="0"/>
          <w:numId w:val="4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项目资金实际使用情况分析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2018</w:t>
      </w:r>
      <w:r>
        <w:rPr>
          <w:rFonts w:hint="eastAsia" w:ascii="仿宋_GB2312" w:eastAsia="仿宋_GB2312"/>
          <w:kern w:val="0"/>
          <w:sz w:val="32"/>
          <w:szCs w:val="32"/>
        </w:rPr>
        <w:t>资金支出</w:t>
      </w:r>
      <w:r>
        <w:rPr>
          <w:rFonts w:ascii="仿宋_GB2312" w:eastAsia="仿宋_GB2312"/>
          <w:kern w:val="0"/>
          <w:sz w:val="32"/>
          <w:szCs w:val="32"/>
        </w:rPr>
        <w:t>346.6</w:t>
      </w:r>
      <w:r>
        <w:rPr>
          <w:rFonts w:hint="eastAsia" w:ascii="仿宋_GB2312" w:eastAsia="仿宋_GB2312"/>
          <w:kern w:val="0"/>
          <w:sz w:val="32"/>
          <w:szCs w:val="32"/>
        </w:rPr>
        <w:t>万元，按</w:t>
      </w:r>
      <w:r>
        <w:rPr>
          <w:rFonts w:ascii="仿宋_GB2312" w:eastAsia="仿宋_GB2312"/>
          <w:kern w:val="0"/>
          <w:sz w:val="32"/>
          <w:szCs w:val="32"/>
        </w:rPr>
        <w:t>2017</w:t>
      </w:r>
      <w:r>
        <w:rPr>
          <w:rFonts w:hint="eastAsia" w:ascii="仿宋_GB2312" w:eastAsia="仿宋_GB2312"/>
          <w:kern w:val="0"/>
          <w:sz w:val="32"/>
          <w:szCs w:val="32"/>
        </w:rPr>
        <w:t>年全民健康体检经费的</w:t>
      </w:r>
      <w:r>
        <w:rPr>
          <w:rFonts w:ascii="仿宋_GB2312" w:eastAsia="仿宋_GB2312"/>
          <w:kern w:val="0"/>
          <w:sz w:val="32"/>
          <w:szCs w:val="32"/>
        </w:rPr>
        <w:t>18.11%</w:t>
      </w:r>
      <w:r>
        <w:rPr>
          <w:rFonts w:hint="eastAsia" w:ascii="仿宋_GB2312" w:eastAsia="仿宋_GB2312"/>
          <w:kern w:val="0"/>
          <w:sz w:val="32"/>
          <w:szCs w:val="32"/>
        </w:rPr>
        <w:t>预算安排当年项目资金，并足额拨付给各体检单位，执行率</w:t>
      </w:r>
      <w:r>
        <w:rPr>
          <w:rFonts w:ascii="仿宋_GB2312" w:eastAsia="仿宋_GB2312"/>
          <w:kern w:val="0"/>
          <w:sz w:val="32"/>
          <w:szCs w:val="32"/>
        </w:rPr>
        <w:t>100%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本项目支出符合全民健康体检资金拨付相关财务管理制度，资金的拨付有完整的审批程序和手续，不存在截留、挤占、挪用等情况。”</w:t>
      </w:r>
    </w:p>
    <w:p>
      <w:pPr>
        <w:numPr>
          <w:ilvl w:val="0"/>
          <w:numId w:val="3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项目组织情况分析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补助资金主要用于开展全民健康体检服务所需的需方补助、工作经费和能力建设等支出。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Style w:val="17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民健康体检服务资金管理规范，监管到位，使用效率较好。全民健康体检项目绩效考核内容主要包括：项目组织管理、资金使用情况、任务完成数量、质量和时效，以及经济和社会效益、可持续影响、社会满意度等，实施统一规范、统一管理、统一考核、统一补助，切实增强项目落实的可操作性，确保城乡居民真正受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效率性：</w:t>
      </w:r>
      <w:r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  <w:t>12</w:t>
      </w: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月</w:t>
      </w:r>
      <w:r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  <w:t>20</w:t>
      </w: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日前体检档案及时录入体检系统；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效益性：增强了居民健康自我保健意识和主动就医率；城乡环境卫生进一步改善。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全民免费健康体检项目资金属上年延续项目。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、加强阳性疾病的管理；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、全县体检机构的体检设备质控；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、精准摸排，上报摸底数；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spacing w:val="-4"/>
          <w:sz w:val="32"/>
          <w:szCs w:val="32"/>
        </w:rPr>
      </w:pPr>
      <w:r>
        <w:rPr>
          <w:rFonts w:ascii="仿宋" w:hAnsi="仿宋" w:eastAsia="仿宋"/>
          <w:b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、主要经验及做法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通过全民健康体检，方便群众了解自身健康信息。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通过一周三结合宣讲、健康讲座等多种形式面向公众开展健康教育。</w:t>
      </w:r>
    </w:p>
    <w:p>
      <w:pPr>
        <w:numPr>
          <w:ilvl w:val="0"/>
          <w:numId w:val="6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（一）全县人口多，流动性大，摸底不够精确，致使体检实际数大于摸底数。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卫生工作人员严重不足，现有卫生人员专业技术水平不高，且流动性较大。由于人员、技术、抽调等原因，乡村级卫生和计划生育免费服务工作进展缓慢，无法满足群众的服务需求。且近年来，每年都有退休人员，但无新招录人员，有编制但是人员配齐不到位，致使干部少，工作量大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（三）是体检人员数量庞大，体检项目较多，现有体检设备老旧，体检设备日工作量有限，无法满足体检需求。参与全民健康体检的医务人员紧缺，特别缺少检验、医学影像、</w:t>
      </w:r>
      <w:r>
        <w:rPr>
          <w:rFonts w:ascii="仿宋" w:hAnsi="仿宋" w:eastAsia="仿宋" w:cs="仿宋"/>
          <w:sz w:val="32"/>
          <w:szCs w:val="32"/>
        </w:rPr>
        <w:t>B</w:t>
      </w:r>
      <w:r>
        <w:rPr>
          <w:rFonts w:hint="eastAsia" w:ascii="仿宋" w:hAnsi="仿宋" w:eastAsia="仿宋" w:cs="仿宋"/>
          <w:sz w:val="32"/>
          <w:szCs w:val="32"/>
        </w:rPr>
        <w:t>超、心电图等专业有资质、会操作的专业技术人员。</w:t>
      </w:r>
    </w:p>
    <w:p>
      <w:pPr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（四）部分乡镇组织、宣传、协调等工作不到位导致体检工作推进不平衡，影响到我县体检工作的总体进度和体检完成率。</w:t>
      </w:r>
    </w:p>
    <w:p>
      <w:pPr>
        <w:numPr>
          <w:ilvl w:val="0"/>
          <w:numId w:val="6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left="420" w:left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精准摸排体检目标数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本次评价通过文件回头看、实地调研、数据分析等方式，全面了解全民健康体检项目资金的使用效率和效果，项目管理过程是否规范，是否完成了预期绩效目标等。同时，通过开展自我评价来总结经验和教训，为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2019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年的全民健康体检项目今后的开展提供参考建议。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2018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全民免费健康体检项目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泽普县卫生局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346.6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346.6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全面掌握城乡居民健康状况，分析影响城乡居民健康的主要因素，制定科学准确的疾病谱，建立完备、适用的城乡居民健康档案，对危害群众健康的各类疾病做到“早发现、早诊断、早预防、早治疗”。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ind w:firstLine="400" w:firstLineChars="20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全民分析影响</w:t>
            </w:r>
            <w:bookmarkStart w:id="0" w:name="_GoBack"/>
            <w:bookmarkEnd w:id="0"/>
            <w:r>
              <w:rPr>
                <w:rFonts w:hint="eastAsia" w:ascii="宋体" w:cs="宋体"/>
                <w:kern w:val="0"/>
                <w:sz w:val="20"/>
                <w:szCs w:val="20"/>
              </w:rPr>
              <w:t>城乡居民健康的主要因素，制定了科学准确的疾病谱，建立完备、适用的城乡居民健康档案，对危害群众健康的各类疾病做到了“早发现、早诊断、早预防、早治疗”。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189928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189928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全民健康体检目标完成率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全民健康体检档案录入时效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全民健康居民免费体检人均成本（元）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增强了居民健康自我保健意识和主动就医率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94%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每年为居民免费体检一次：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健康体检受益群众满意率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96%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96%</w:t>
            </w:r>
          </w:p>
        </w:tc>
      </w:tr>
    </w:tbl>
    <w:p>
      <w:pPr>
        <w:spacing w:line="540" w:lineRule="exact"/>
        <w:rPr>
          <w:rStyle w:val="17"/>
          <w:rFonts w:ascii="宋体" w:hAns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经办人：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张大空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单位负责人：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吐松古丽·艾热凯西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上报时间：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2018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年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12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月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25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日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>
      <w:pPr>
        <w:spacing w:line="540" w:lineRule="exact"/>
        <w:rPr>
          <w:rStyle w:val="17"/>
          <w:rFonts w:asci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18399360651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13899139882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C59C48"/>
    <w:multiLevelType w:val="singleLevel"/>
    <w:tmpl w:val="8BC59C48"/>
    <w:lvl w:ilvl="0" w:tentative="0">
      <w:start w:val="2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8D68F3FE"/>
    <w:multiLevelType w:val="singleLevel"/>
    <w:tmpl w:val="8D68F3FE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B047EC67"/>
    <w:multiLevelType w:val="singleLevel"/>
    <w:tmpl w:val="B047EC67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3">
    <w:nsid w:val="BF378A4D"/>
    <w:multiLevelType w:val="singleLevel"/>
    <w:tmpl w:val="BF378A4D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4537EE45"/>
    <w:multiLevelType w:val="singleLevel"/>
    <w:tmpl w:val="4537EE45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5">
    <w:nsid w:val="5B6E8B28"/>
    <w:multiLevelType w:val="singleLevel"/>
    <w:tmpl w:val="5B6E8B28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56465"/>
    <w:rsid w:val="00121AE4"/>
    <w:rsid w:val="00136117"/>
    <w:rsid w:val="001416F7"/>
    <w:rsid w:val="00146AAD"/>
    <w:rsid w:val="001B3A40"/>
    <w:rsid w:val="002A4044"/>
    <w:rsid w:val="00362915"/>
    <w:rsid w:val="0036514A"/>
    <w:rsid w:val="003A33F2"/>
    <w:rsid w:val="003D35E8"/>
    <w:rsid w:val="004366A8"/>
    <w:rsid w:val="00502BA7"/>
    <w:rsid w:val="005162F1"/>
    <w:rsid w:val="00523635"/>
    <w:rsid w:val="00535153"/>
    <w:rsid w:val="00554F82"/>
    <w:rsid w:val="0056390D"/>
    <w:rsid w:val="005719B0"/>
    <w:rsid w:val="005D10D6"/>
    <w:rsid w:val="00607FEF"/>
    <w:rsid w:val="00700467"/>
    <w:rsid w:val="00705786"/>
    <w:rsid w:val="00721EFA"/>
    <w:rsid w:val="00745F98"/>
    <w:rsid w:val="007B51E0"/>
    <w:rsid w:val="00855E3A"/>
    <w:rsid w:val="008854DA"/>
    <w:rsid w:val="008E35EC"/>
    <w:rsid w:val="00913BB2"/>
    <w:rsid w:val="00922CB9"/>
    <w:rsid w:val="0096663D"/>
    <w:rsid w:val="009E5CD9"/>
    <w:rsid w:val="00A06175"/>
    <w:rsid w:val="00A26421"/>
    <w:rsid w:val="00A4293B"/>
    <w:rsid w:val="00A67D50"/>
    <w:rsid w:val="00A8691A"/>
    <w:rsid w:val="00A92106"/>
    <w:rsid w:val="00AC1946"/>
    <w:rsid w:val="00B40063"/>
    <w:rsid w:val="00B41F61"/>
    <w:rsid w:val="00BA46E6"/>
    <w:rsid w:val="00C56C72"/>
    <w:rsid w:val="00CA6457"/>
    <w:rsid w:val="00CB2D53"/>
    <w:rsid w:val="00CF0427"/>
    <w:rsid w:val="00D17F2E"/>
    <w:rsid w:val="00D23387"/>
    <w:rsid w:val="00D27919"/>
    <w:rsid w:val="00D30354"/>
    <w:rsid w:val="00D77B73"/>
    <w:rsid w:val="00DF42A0"/>
    <w:rsid w:val="00E464D0"/>
    <w:rsid w:val="00E769FE"/>
    <w:rsid w:val="00EA2CBE"/>
    <w:rsid w:val="00EB3094"/>
    <w:rsid w:val="00F32FEE"/>
    <w:rsid w:val="00F50033"/>
    <w:rsid w:val="00FB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uiPriority w:val="99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Heading 1 Char"/>
    <w:basedOn w:val="16"/>
    <w:link w:val="2"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qFormat/>
    <w:locked/>
    <w:uiPriority w:val="99"/>
    <w:rPr>
      <w:rFonts w:cs="Times New Roman"/>
      <w:b/>
      <w:bCs/>
    </w:rPr>
  </w:style>
  <w:style w:type="character" w:customStyle="1" w:styleId="26">
    <w:name w:val="Heading 7 Char"/>
    <w:basedOn w:val="16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7">
    <w:name w:val="Heading 8 Char"/>
    <w:basedOn w:val="16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9">
    <w:name w:val="Title Char"/>
    <w:basedOn w:val="16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Quote Char"/>
    <w:basedOn w:val="16"/>
    <w:link w:val="33"/>
    <w:qFormat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Intense Quote Char"/>
    <w:basedOn w:val="16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basedOn w:val="16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Footer Char"/>
    <w:basedOn w:val="16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395</Words>
  <Characters>2253</Characters>
  <Lines>0</Lines>
  <Paragraphs>0</Paragraphs>
  <TotalTime>94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2019-01-28T05:55:05Z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