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</w:t>
      </w:r>
      <w:r>
        <w:rPr>
          <w:rFonts w:ascii="仿宋" w:hAnsi="仿宋" w:eastAsia="仿宋" w:cs="宋体"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Ansi="宋体" w:eastAsia="仿宋_GB2312" w:cs="宋体"/>
          <w:kern w:val="0"/>
          <w:sz w:val="36"/>
          <w:szCs w:val="36"/>
        </w:rPr>
        <w:t xml:space="preserve"> 2018 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  <w:bookmarkStart w:id="0" w:name="_GoBack"/>
      <w:bookmarkEnd w:id="0"/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Ansi="宋体" w:eastAsia="仿宋_GB2312" w:cs="宋体"/>
          <w:kern w:val="0"/>
          <w:sz w:val="36"/>
          <w:szCs w:val="36"/>
        </w:rPr>
        <w:t xml:space="preserve">     </w:t>
      </w: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仿宋" w:hAnsi="仿宋" w:eastAsia="仿宋" w:cs="仿宋"/>
          <w:kern w:val="0"/>
          <w:sz w:val="36"/>
          <w:szCs w:val="36"/>
          <w:lang w:val="zh-TW"/>
        </w:rPr>
        <w:t>全民免费健康体检项目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Ansi="宋体" w:eastAsia="仿宋_GB2312" w:cs="宋体"/>
          <w:kern w:val="0"/>
          <w:sz w:val="36"/>
          <w:szCs w:val="36"/>
        </w:rPr>
        <w:t xml:space="preserve">     </w:t>
      </w: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泽普县各乡镇卫生院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主管部门（公章）：泽普县卫生局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项目负责人（签章）：吐松古丽·艾热凯西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Ansi="宋体" w:eastAsia="仿宋_GB2312" w:cs="宋体"/>
          <w:kern w:val="0"/>
          <w:sz w:val="36"/>
          <w:szCs w:val="36"/>
        </w:rPr>
        <w:t xml:space="preserve"> 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Ansi="宋体" w:eastAsia="仿宋_GB2312" w:cs="宋体"/>
          <w:kern w:val="0"/>
          <w:sz w:val="36"/>
          <w:szCs w:val="36"/>
        </w:rPr>
        <w:t xml:space="preserve">12 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Ansi="宋体" w:eastAsia="仿宋_GB2312" w:cs="宋体"/>
          <w:kern w:val="0"/>
          <w:sz w:val="36"/>
          <w:szCs w:val="36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pBdr>
          <w:bottom w:val="single" w:color="FFFFFF" w:sz="4" w:space="30"/>
        </w:pBdr>
        <w:tabs>
          <w:tab w:val="left" w:pos="1440"/>
        </w:tabs>
        <w:spacing w:line="560" w:lineRule="exact"/>
        <w:ind w:firstLine="707" w:firstLineChars="22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全民健康体检工作由乡镇卫生院具体负责承担，村卫生室配合做好健康体检工作，村级不设体检点。在校学生（含高校）健康体检工作由教育局和卫生局确定的医疗卫生机构完成。各主体体检机构要按照“医检分开、相对独立”的原则，规范设置体检场地，制定体检工作进度计划表，明确每日体检人群，确保体检工作按进度计划进行。</w:t>
      </w:r>
    </w:p>
    <w:p>
      <w:pPr>
        <w:pBdr>
          <w:bottom w:val="single" w:color="FFFFFF" w:sz="4" w:space="30"/>
        </w:pBdr>
        <w:tabs>
          <w:tab w:val="left" w:pos="1440"/>
        </w:tabs>
        <w:spacing w:line="560" w:lineRule="exact"/>
        <w:ind w:firstLine="707" w:firstLineChars="22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县人民医院负责各场所的人员体检工作。</w:t>
      </w:r>
    </w:p>
    <w:p>
      <w:pPr>
        <w:pBdr>
          <w:bottom w:val="single" w:color="FFFFFF" w:sz="4" w:space="30"/>
        </w:pBdr>
        <w:tabs>
          <w:tab w:val="left" w:pos="1440"/>
        </w:tabs>
        <w:spacing w:line="560" w:lineRule="exact"/>
        <w:ind w:firstLine="707" w:firstLineChars="221"/>
        <w:rPr>
          <w:rStyle w:val="17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对边远乡村和山区居民、在校学生（含高校）等特殊群体、年老体弱、行动不便人员，可采取流动体检车或体检小分队开展上门体检的办法</w:t>
      </w:r>
      <w:r>
        <w:rPr>
          <w:rStyle w:val="17"/>
          <w:rFonts w:hint="eastAsia" w:ascii="仿宋" w:hAnsi="仿宋" w:eastAsia="仿宋"/>
          <w:b w:val="0"/>
          <w:color w:val="FF0000"/>
          <w:spacing w:val="-4"/>
          <w:sz w:val="32"/>
          <w:szCs w:val="32"/>
        </w:rPr>
        <w:t>。</w:t>
      </w:r>
    </w:p>
    <w:p>
      <w:pPr>
        <w:numPr>
          <w:ilvl w:val="0"/>
          <w:numId w:val="1"/>
        </w:numPr>
        <w:pBdr>
          <w:bottom w:val="single" w:color="FFFFFF" w:sz="4" w:space="30"/>
        </w:pBdr>
        <w:tabs>
          <w:tab w:val="left" w:pos="1440"/>
        </w:tabs>
        <w:spacing w:line="560" w:lineRule="exact"/>
        <w:ind w:firstLine="692" w:firstLineChars="22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项目预算绩效目标设定情况</w:t>
      </w:r>
    </w:p>
    <w:p>
      <w:pPr>
        <w:numPr>
          <w:ilvl w:val="0"/>
          <w:numId w:val="2"/>
        </w:numPr>
        <w:pBdr>
          <w:bottom w:val="single" w:color="FFFFFF" w:sz="4" w:space="30"/>
        </w:pBdr>
        <w:tabs>
          <w:tab w:val="left" w:pos="1440"/>
        </w:tabs>
        <w:spacing w:line="560" w:lineRule="exact"/>
        <w:ind w:firstLine="627" w:firstLineChars="200"/>
        <w:jc w:val="left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项目预期目标及阶段性目标</w:t>
      </w:r>
    </w:p>
    <w:p>
      <w:pPr>
        <w:pBdr>
          <w:bottom w:val="single" w:color="FFFFFF" w:sz="4" w:space="30"/>
        </w:pBdr>
        <w:tabs>
          <w:tab w:val="left" w:pos="1440"/>
        </w:tabs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对危害群众健康的各类疾病做到“早发现、早诊断、早预防、早治疗”。</w:t>
      </w:r>
    </w:p>
    <w:p>
      <w:pPr>
        <w:numPr>
          <w:ilvl w:val="0"/>
          <w:numId w:val="2"/>
        </w:numPr>
        <w:pBdr>
          <w:bottom w:val="single" w:color="FFFFFF" w:sz="4" w:space="30"/>
        </w:pBdr>
        <w:tabs>
          <w:tab w:val="left" w:pos="1440"/>
        </w:tabs>
        <w:spacing w:line="560" w:lineRule="exact"/>
        <w:ind w:firstLine="627" w:firstLineChars="200"/>
        <w:jc w:val="left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项目基本性质</w:t>
      </w:r>
    </w:p>
    <w:p>
      <w:pPr>
        <w:pBdr>
          <w:bottom w:val="single" w:color="FFFFFF" w:sz="4" w:space="30"/>
        </w:pBdr>
        <w:tabs>
          <w:tab w:val="left" w:pos="1440"/>
        </w:tabs>
        <w:spacing w:line="560" w:lineRule="exact"/>
        <w:ind w:firstLine="624" w:firstLineChars="200"/>
        <w:jc w:val="left"/>
        <w:rPr>
          <w:rFonts w:ascii="仿宋" w:hAnsi="仿宋" w:eastAsia="仿宋"/>
          <w:bCs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本项目性质为延续。</w:t>
      </w:r>
    </w:p>
    <w:p>
      <w:pPr>
        <w:numPr>
          <w:ilvl w:val="0"/>
          <w:numId w:val="2"/>
        </w:numPr>
        <w:pBdr>
          <w:bottom w:val="single" w:color="FFFFFF" w:sz="4" w:space="30"/>
        </w:pBdr>
        <w:tabs>
          <w:tab w:val="left" w:pos="1440"/>
        </w:tabs>
        <w:spacing w:line="560" w:lineRule="exact"/>
        <w:ind w:firstLine="627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pBdr>
          <w:bottom w:val="single" w:color="FFFFFF" w:sz="4" w:space="30"/>
        </w:pBdr>
        <w:tabs>
          <w:tab w:val="left" w:pos="1440"/>
        </w:tabs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全面掌握城乡居民健康状况，分析影响城乡居民健康的主要因素，制定科学准确的疾病谱，建立完备、适用的城乡居民健康档案，对危害群众健康的各类疾病做到“早发现、早诊断、早预防、早治疗”。</w:t>
      </w:r>
    </w:p>
    <w:p>
      <w:pPr>
        <w:numPr>
          <w:ilvl w:val="0"/>
          <w:numId w:val="3"/>
        </w:numPr>
        <w:pBdr>
          <w:bottom w:val="single" w:color="FFFFFF" w:sz="4" w:space="30"/>
        </w:pBdr>
        <w:tabs>
          <w:tab w:val="left" w:pos="1440"/>
        </w:tabs>
        <w:spacing w:line="560" w:lineRule="exact"/>
        <w:ind w:firstLine="624" w:firstLineChars="200"/>
        <w:jc w:val="lef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项目资金使用及管理情况</w:t>
      </w:r>
    </w:p>
    <w:p>
      <w:pPr>
        <w:numPr>
          <w:ilvl w:val="0"/>
          <w:numId w:val="4"/>
        </w:numPr>
        <w:pBdr>
          <w:bottom w:val="single" w:color="FFFFFF" w:sz="4" w:space="30"/>
        </w:pBdr>
        <w:tabs>
          <w:tab w:val="left" w:pos="1440"/>
        </w:tabs>
        <w:spacing w:line="560" w:lineRule="exact"/>
        <w:ind w:firstLine="627" w:firstLineChars="200"/>
        <w:jc w:val="left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项目资金安排落实、总投入等情况分析</w:t>
      </w:r>
    </w:p>
    <w:p>
      <w:pPr>
        <w:pBdr>
          <w:bottom w:val="single" w:color="FFFFFF" w:sz="4" w:space="30"/>
        </w:pBdr>
        <w:tabs>
          <w:tab w:val="left" w:pos="1440"/>
        </w:tabs>
        <w:spacing w:line="560" w:lineRule="exact"/>
        <w:ind w:firstLine="624" w:firstLineChars="200"/>
        <w:jc w:val="left"/>
        <w:rPr>
          <w:rFonts w:ascii="仿宋" w:hAnsi="仿宋" w:eastAsia="仿宋"/>
          <w:bCs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全民健康体检项目预算安排总额为</w:t>
      </w:r>
      <w:r>
        <w:rPr>
          <w:rFonts w:ascii="仿宋" w:hAnsi="仿宋" w:eastAsia="仿宋"/>
          <w:bCs/>
          <w:color w:val="000000"/>
          <w:spacing w:val="-4"/>
          <w:sz w:val="32"/>
          <w:szCs w:val="32"/>
        </w:rPr>
        <w:t>263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万元，其中自治区财政资金</w:t>
      </w:r>
      <w:r>
        <w:rPr>
          <w:rFonts w:ascii="仿宋" w:hAnsi="仿宋" w:eastAsia="仿宋"/>
          <w:bCs/>
          <w:color w:val="000000"/>
          <w:spacing w:val="-4"/>
          <w:sz w:val="32"/>
          <w:szCs w:val="32"/>
        </w:rPr>
        <w:t>263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万元，</w:t>
      </w:r>
      <w:r>
        <w:rPr>
          <w:rFonts w:ascii="仿宋" w:hAnsi="仿宋" w:eastAsia="仿宋"/>
          <w:bCs/>
          <w:color w:val="000000"/>
          <w:spacing w:val="-4"/>
          <w:sz w:val="32"/>
          <w:szCs w:val="32"/>
        </w:rPr>
        <w:t>2018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年实际收到预算资金</w:t>
      </w:r>
      <w:r>
        <w:rPr>
          <w:rFonts w:ascii="仿宋" w:hAnsi="仿宋" w:eastAsia="仿宋"/>
          <w:bCs/>
          <w:color w:val="000000"/>
          <w:spacing w:val="-4"/>
          <w:sz w:val="32"/>
          <w:szCs w:val="32"/>
        </w:rPr>
        <w:t>263</w:t>
      </w: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万元。</w:t>
      </w:r>
    </w:p>
    <w:p>
      <w:pPr>
        <w:numPr>
          <w:ilvl w:val="0"/>
          <w:numId w:val="4"/>
        </w:numPr>
        <w:pBdr>
          <w:bottom w:val="single" w:color="FFFFFF" w:sz="4" w:space="30"/>
        </w:pBdr>
        <w:tabs>
          <w:tab w:val="left" w:pos="1440"/>
        </w:tabs>
        <w:spacing w:line="560" w:lineRule="exact"/>
        <w:ind w:firstLine="627" w:firstLineChars="200"/>
        <w:jc w:val="left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项目资金实际使用情况分析</w:t>
      </w:r>
    </w:p>
    <w:p>
      <w:pPr>
        <w:pBdr>
          <w:bottom w:val="single" w:color="FFFFFF" w:sz="4" w:space="30"/>
        </w:pBdr>
        <w:tabs>
          <w:tab w:val="left" w:pos="1440"/>
        </w:tabs>
        <w:spacing w:line="560" w:lineRule="exact"/>
        <w:ind w:firstLine="640" w:firstLineChars="200"/>
        <w:jc w:val="left"/>
        <w:rPr>
          <w:rFonts w:ascii="仿宋" w:hAnsi="仿宋" w:eastAsia="仿宋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t>2018</w:t>
      </w:r>
      <w:r>
        <w:rPr>
          <w:rFonts w:hint="eastAsia" w:ascii="仿宋_GB2312" w:eastAsia="仿宋_GB2312"/>
          <w:kern w:val="0"/>
          <w:sz w:val="32"/>
          <w:szCs w:val="32"/>
        </w:rPr>
        <w:t>年到位资金</w:t>
      </w:r>
      <w:r>
        <w:rPr>
          <w:rFonts w:ascii="仿宋_GB2312" w:eastAsia="仿宋_GB2312"/>
          <w:kern w:val="0"/>
          <w:sz w:val="32"/>
          <w:szCs w:val="32"/>
        </w:rPr>
        <w:t>263</w:t>
      </w:r>
      <w:r>
        <w:rPr>
          <w:rFonts w:hint="eastAsia" w:ascii="仿宋_GB2312" w:eastAsia="仿宋_GB2312"/>
          <w:kern w:val="0"/>
          <w:sz w:val="32"/>
          <w:szCs w:val="32"/>
        </w:rPr>
        <w:t>万元，按</w:t>
      </w:r>
      <w:r>
        <w:rPr>
          <w:rFonts w:ascii="仿宋_GB2312" w:eastAsia="仿宋_GB2312"/>
          <w:kern w:val="0"/>
          <w:sz w:val="32"/>
          <w:szCs w:val="32"/>
        </w:rPr>
        <w:t>2017</w:t>
      </w:r>
      <w:r>
        <w:rPr>
          <w:rFonts w:hint="eastAsia" w:ascii="仿宋_GB2312" w:eastAsia="仿宋_GB2312"/>
          <w:kern w:val="0"/>
          <w:sz w:val="32"/>
          <w:szCs w:val="32"/>
        </w:rPr>
        <w:t>年全民健康体检经费的</w:t>
      </w:r>
      <w:r>
        <w:rPr>
          <w:rFonts w:ascii="仿宋_GB2312" w:eastAsia="仿宋_GB2312"/>
          <w:kern w:val="0"/>
          <w:sz w:val="32"/>
          <w:szCs w:val="32"/>
        </w:rPr>
        <w:t>18.11%</w:t>
      </w:r>
      <w:r>
        <w:rPr>
          <w:rFonts w:hint="eastAsia" w:ascii="仿宋_GB2312" w:eastAsia="仿宋_GB2312"/>
          <w:kern w:val="0"/>
          <w:sz w:val="32"/>
          <w:szCs w:val="32"/>
        </w:rPr>
        <w:t>预算安排当年项目资金，并足额拨付给各体检单位，执行率</w:t>
      </w:r>
      <w:r>
        <w:rPr>
          <w:rFonts w:ascii="仿宋_GB2312" w:eastAsia="仿宋_GB2312"/>
          <w:kern w:val="0"/>
          <w:sz w:val="32"/>
          <w:szCs w:val="32"/>
        </w:rPr>
        <w:t>100%</w:t>
      </w:r>
      <w:r>
        <w:rPr>
          <w:rFonts w:hint="eastAsia" w:ascii="仿宋_GB2312" w:eastAsia="仿宋_GB2312"/>
          <w:kern w:val="0"/>
          <w:sz w:val="32"/>
          <w:szCs w:val="32"/>
        </w:rPr>
        <w:t>。</w:t>
      </w:r>
    </w:p>
    <w:p>
      <w:pPr>
        <w:pBdr>
          <w:bottom w:val="single" w:color="FFFFFF" w:sz="4" w:space="30"/>
        </w:pBdr>
        <w:tabs>
          <w:tab w:val="left" w:pos="1440"/>
        </w:tabs>
        <w:spacing w:line="560" w:lineRule="exact"/>
        <w:ind w:firstLine="627" w:firstLineChars="200"/>
        <w:jc w:val="left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pBdr>
          <w:bottom w:val="single" w:color="FFFFFF" w:sz="4" w:space="30"/>
        </w:pBdr>
        <w:tabs>
          <w:tab w:val="left" w:pos="1440"/>
        </w:tabs>
        <w:spacing w:line="560" w:lineRule="exact"/>
        <w:ind w:firstLine="624" w:firstLineChars="200"/>
        <w:jc w:val="left"/>
        <w:rPr>
          <w:rFonts w:ascii="仿宋" w:hAnsi="仿宋" w:eastAsia="仿宋"/>
          <w:bCs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本项目支出符合全民健康体检资金拨付相关财务管理制度，资金的拨付有完整的审批程序和手续，不存在截留、挤占、挪用等情况。”</w:t>
      </w:r>
    </w:p>
    <w:p>
      <w:pPr>
        <w:numPr>
          <w:ilvl w:val="0"/>
          <w:numId w:val="3"/>
        </w:numPr>
        <w:pBdr>
          <w:bottom w:val="single" w:color="FFFFFF" w:sz="4" w:space="30"/>
        </w:pBdr>
        <w:tabs>
          <w:tab w:val="left" w:pos="1440"/>
        </w:tabs>
        <w:spacing w:line="560" w:lineRule="exact"/>
        <w:ind w:firstLine="624" w:firstLineChars="200"/>
        <w:jc w:val="left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项目组织实施情况</w:t>
      </w:r>
    </w:p>
    <w:p>
      <w:pPr>
        <w:numPr>
          <w:ilvl w:val="0"/>
          <w:numId w:val="5"/>
        </w:numPr>
        <w:pBdr>
          <w:bottom w:val="single" w:color="FFFFFF" w:sz="4" w:space="30"/>
        </w:pBdr>
        <w:tabs>
          <w:tab w:val="left" w:pos="1440"/>
        </w:tabs>
        <w:spacing w:line="560" w:lineRule="exact"/>
        <w:ind w:firstLine="627" w:firstLineChars="200"/>
        <w:jc w:val="left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项目组织情况分析</w:t>
      </w:r>
    </w:p>
    <w:p>
      <w:pPr>
        <w:numPr>
          <w:ilvl w:val="0"/>
          <w:numId w:val="5"/>
        </w:numPr>
        <w:pBdr>
          <w:bottom w:val="single" w:color="FFFFFF" w:sz="4" w:space="30"/>
        </w:pBdr>
        <w:tabs>
          <w:tab w:val="left" w:pos="1440"/>
        </w:tabs>
        <w:spacing w:line="560" w:lineRule="exact"/>
        <w:ind w:firstLine="640" w:firstLineChars="200"/>
        <w:jc w:val="left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补助资金主要用于开展全民健康体检服务所需的需方补助、工作经费和能力建设等支出。</w:t>
      </w:r>
    </w:p>
    <w:p>
      <w:pPr>
        <w:numPr>
          <w:ilvl w:val="0"/>
          <w:numId w:val="5"/>
        </w:numPr>
        <w:pBdr>
          <w:bottom w:val="single" w:color="FFFFFF" w:sz="4" w:space="30"/>
        </w:pBdr>
        <w:tabs>
          <w:tab w:val="left" w:pos="1440"/>
        </w:tabs>
        <w:spacing w:line="560" w:lineRule="exact"/>
        <w:ind w:firstLine="627" w:firstLineChars="200"/>
        <w:jc w:val="left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项目管理情况分析</w:t>
      </w:r>
    </w:p>
    <w:p>
      <w:pPr>
        <w:pBdr>
          <w:bottom w:val="single" w:color="FFFFFF" w:sz="4" w:space="30"/>
        </w:pBdr>
        <w:tabs>
          <w:tab w:val="left" w:pos="1440"/>
        </w:tabs>
        <w:spacing w:line="560" w:lineRule="exact"/>
        <w:ind w:firstLine="640" w:firstLineChars="200"/>
        <w:jc w:val="left"/>
        <w:rPr>
          <w:rStyle w:val="17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全民健康体检服务资金管理规范，监管到位，使用效率较好。全民健康体检项目绩效考核内容主要包括：项目组织管理、资金使用情况、任务完成数量、质量和时效，以及经济和社会效益、可持续影响、社会满意度等，实施统一规范、统一管理、统一考核、统一补助，切实增强项目落实的可操作性，确保城乡居民真正受益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7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7"/>
          <w:rFonts w:ascii="仿宋" w:hAnsi="仿宋" w:eastAsia="仿宋"/>
          <w:b w:val="0"/>
          <w:color w:val="00000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效率性：</w:t>
      </w:r>
      <w:r>
        <w:rPr>
          <w:rStyle w:val="17"/>
          <w:rFonts w:ascii="仿宋" w:hAnsi="仿宋" w:eastAsia="仿宋"/>
          <w:b w:val="0"/>
          <w:color w:val="000000"/>
          <w:spacing w:val="-4"/>
          <w:sz w:val="32"/>
          <w:szCs w:val="32"/>
        </w:rPr>
        <w:t>12</w:t>
      </w:r>
      <w:r>
        <w:rPr>
          <w:rStyle w:val="17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月</w:t>
      </w:r>
      <w:r>
        <w:rPr>
          <w:rStyle w:val="17"/>
          <w:rFonts w:ascii="仿宋" w:hAnsi="仿宋" w:eastAsia="仿宋"/>
          <w:b w:val="0"/>
          <w:color w:val="000000"/>
          <w:spacing w:val="-4"/>
          <w:sz w:val="32"/>
          <w:szCs w:val="32"/>
        </w:rPr>
        <w:t>20</w:t>
      </w:r>
      <w:r>
        <w:rPr>
          <w:rStyle w:val="17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日前体检档案及时录入体检系统；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效益性：增强了居民健康自我保健意识和主动就医率；城乡环境卫生进一步改善。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不存在未完成情况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: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“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2018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年本项目绩效目标全部达成，不存在未完成原因分析。”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、加强阳性疾病的管理；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、全县体检机构的体检设备质控；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、精准摸排，上报摸底数；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spacing w:val="-4"/>
          <w:sz w:val="32"/>
          <w:szCs w:val="32"/>
        </w:rPr>
      </w:pPr>
      <w:r>
        <w:rPr>
          <w:rFonts w:ascii="仿宋" w:hAnsi="仿宋" w:eastAsia="仿宋"/>
          <w:b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/>
          <w:spacing w:val="-4"/>
          <w:sz w:val="32"/>
          <w:szCs w:val="32"/>
        </w:rPr>
        <w:t>、主要经验及做法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hint="eastAsia" w:ascii="仿宋_GB2312" w:eastAsia="仿宋_GB2312"/>
          <w:sz w:val="32"/>
          <w:szCs w:val="32"/>
        </w:rPr>
        <w:t>通过全民健康体检，方便群众了解自身健康信息。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</w:rPr>
        <w:t>通过一周三结合宣讲、健康讲座等多种形式面向公众开展健康教育。</w:t>
      </w:r>
    </w:p>
    <w:p>
      <w:pPr>
        <w:numPr>
          <w:ilvl w:val="0"/>
          <w:numId w:val="6"/>
        </w:num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（一）全县人口多，流动性大，摸底不够精确，致使体检实际数大于摸底数。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卫生工作人员严重不足，现有卫生人员专业技术水平不高，且流动性较大。由于人员、技术、抽调等原因，乡村级卫生和计划生育免费服务工作进展缓慢，无法满足群众的服务需求。且近年来，每年都有退休人员，但无新招录人员，有编制但是人员配齐不到位，致使干部少，工作量大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（三）是体检人员数量庞大，体检项目较多，现有体检设备老旧，体检设备日工作量有限，无法满足体检需求。参与全民健康体检的医务人员紧缺，特别缺少检验、医学影像、</w:t>
      </w:r>
      <w:r>
        <w:rPr>
          <w:rFonts w:ascii="仿宋" w:hAnsi="仿宋" w:eastAsia="仿宋" w:cs="仿宋"/>
          <w:sz w:val="32"/>
          <w:szCs w:val="32"/>
        </w:rPr>
        <w:t>B</w:t>
      </w:r>
      <w:r>
        <w:rPr>
          <w:rFonts w:hint="eastAsia" w:ascii="仿宋" w:hAnsi="仿宋" w:eastAsia="仿宋" w:cs="仿宋"/>
          <w:sz w:val="32"/>
          <w:szCs w:val="32"/>
        </w:rPr>
        <w:t>超、心电图等专业有资质、会操作的专业技术人员。</w:t>
      </w:r>
    </w:p>
    <w:p>
      <w:pPr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（四）部分乡镇组织、宣传、协调等工作不到位导致体检工作推进不平衡，影响到我县体检工作的总体进度和体检完成率。</w:t>
      </w:r>
    </w:p>
    <w:p>
      <w:pPr>
        <w:numPr>
          <w:ilvl w:val="0"/>
          <w:numId w:val="6"/>
        </w:num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left="420" w:left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精准摸排体检目标数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本次评价通过文件回头看、实地调研、数据分析等方式，全面了解全民健康体检项目资金的使用效率和效果，项目管理过程是否规范，是否完成了预期绩效目标等。同时，通过开展自我评价来总结经验和教训，为</w:t>
      </w:r>
      <w:r>
        <w:rPr>
          <w:rFonts w:ascii="仿宋" w:hAnsi="仿宋" w:eastAsia="仿宋"/>
          <w:color w:val="000000"/>
          <w:spacing w:val="-4"/>
          <w:sz w:val="32"/>
          <w:szCs w:val="32"/>
        </w:rPr>
        <w:t>2019</w:t>
      </w:r>
      <w:r>
        <w:rPr>
          <w:rFonts w:hint="eastAsia" w:ascii="仿宋" w:hAnsi="仿宋" w:eastAsia="仿宋"/>
          <w:color w:val="000000"/>
          <w:spacing w:val="-4"/>
          <w:sz w:val="32"/>
          <w:szCs w:val="32"/>
        </w:rPr>
        <w:t>年的全民健康体检项目今后的开展提供参考建议。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7"/>
          <w:rFonts w:ascii="仿宋" w:hAnsi="仿宋" w:eastAsia="仿宋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2018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全民免费健康体检补助项目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泽普县卫生局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263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263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263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263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ind w:firstLine="400" w:firstLineChars="200"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全面掌握城乡居民健康状况，分析影响城乡居民健康的主要因素，制定科学准确的疾病谱，建立完备、适用的城乡居民健康档案，对危害群众健康的各类疾病做到“早发现、早诊断、早预防、早治疗”。　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ind w:firstLine="400" w:firstLineChars="200"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全民分析影响城乡居民健康的主要因素，制定了科学准确的疾病谱，建立完备、适用的城乡居民健康档案，对危害群众健康的各类疾病做到了“早发现、早诊断、早预防、早治疗”。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全民健康体检人数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189929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人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全民健康体检目标完成率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全民健康体检档案录入时效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2018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日前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全民健康居民免费体检人均成本（元）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人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增强了居民健康自我保健意识和主动就医率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95%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每年为居民免费体检一次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次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rPr>
          <w:rStyle w:val="17"/>
          <w:rFonts w:ascii="宋体" w:hAnsi="宋体"/>
          <w:b w:val="0"/>
          <w:spacing w:val="-4"/>
          <w:sz w:val="20"/>
          <w:szCs w:val="32"/>
        </w:rPr>
      </w:pP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经办人：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张大空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单位负责人：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吐松古丽·艾热凯西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   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上报时间：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2018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年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12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月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25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日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           </w:t>
      </w:r>
    </w:p>
    <w:p>
      <w:pPr>
        <w:spacing w:line="540" w:lineRule="exact"/>
        <w:rPr>
          <w:rStyle w:val="17"/>
          <w:rFonts w:ascii="宋体"/>
          <w:b w:val="0"/>
          <w:spacing w:val="-4"/>
          <w:sz w:val="20"/>
          <w:szCs w:val="32"/>
        </w:rPr>
      </w:pP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联系方式：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18399360651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联系方式：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>13899139882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6</w:t>
    </w:r>
    <w:r>
      <w:rPr>
        <w:lang w:val="zh-CN"/>
      </w:rPr>
      <w:fldChar w:fldCharType="end"/>
    </w:r>
  </w:p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C59C48"/>
    <w:multiLevelType w:val="singleLevel"/>
    <w:tmpl w:val="8BC59C48"/>
    <w:lvl w:ilvl="0" w:tentative="0">
      <w:start w:val="2"/>
      <w:numFmt w:val="chineseCounting"/>
      <w:suff w:val="nothing"/>
      <w:lvlText w:val="%1、"/>
      <w:lvlJc w:val="left"/>
      <w:rPr>
        <w:rFonts w:hint="eastAsia" w:cs="Times New Roman"/>
      </w:rPr>
    </w:lvl>
  </w:abstractNum>
  <w:abstractNum w:abstractNumId="1">
    <w:nsid w:val="8D68F3FE"/>
    <w:multiLevelType w:val="singleLevel"/>
    <w:tmpl w:val="8D68F3FE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B047EC67"/>
    <w:multiLevelType w:val="singleLevel"/>
    <w:tmpl w:val="B047EC67"/>
    <w:lvl w:ilvl="0" w:tentative="0">
      <w:start w:val="2"/>
      <w:numFmt w:val="chineseCounting"/>
      <w:suff w:val="nothing"/>
      <w:lvlText w:val="（%1）"/>
      <w:lvlJc w:val="left"/>
      <w:rPr>
        <w:rFonts w:hint="eastAsia" w:cs="Times New Roman"/>
      </w:rPr>
    </w:lvl>
  </w:abstractNum>
  <w:abstractNum w:abstractNumId="3">
    <w:nsid w:val="BF378A4D"/>
    <w:multiLevelType w:val="singleLevel"/>
    <w:tmpl w:val="BF378A4D"/>
    <w:lvl w:ilvl="0" w:tentative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4">
    <w:nsid w:val="4537EE45"/>
    <w:multiLevelType w:val="singleLevel"/>
    <w:tmpl w:val="4537EE45"/>
    <w:lvl w:ilvl="0" w:tentative="0">
      <w:start w:val="1"/>
      <w:numFmt w:val="chineseCounting"/>
      <w:suff w:val="nothing"/>
      <w:lvlText w:val="（%1）"/>
      <w:lvlJc w:val="left"/>
      <w:rPr>
        <w:rFonts w:hint="eastAsia" w:cs="Times New Roman"/>
      </w:rPr>
    </w:lvl>
  </w:abstractNum>
  <w:abstractNum w:abstractNumId="5">
    <w:nsid w:val="5B6E8B28"/>
    <w:multiLevelType w:val="singleLevel"/>
    <w:tmpl w:val="5B6E8B28"/>
    <w:lvl w:ilvl="0" w:tentative="0">
      <w:start w:val="1"/>
      <w:numFmt w:val="chineseCounting"/>
      <w:suff w:val="nothing"/>
      <w:lvlText w:val="（%1）"/>
      <w:lvlJc w:val="left"/>
      <w:rPr>
        <w:rFonts w:hint="eastAsia"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6457"/>
    <w:rsid w:val="00002EF1"/>
    <w:rsid w:val="00056465"/>
    <w:rsid w:val="00121AE4"/>
    <w:rsid w:val="00136117"/>
    <w:rsid w:val="001416F7"/>
    <w:rsid w:val="00146AAD"/>
    <w:rsid w:val="001B3A40"/>
    <w:rsid w:val="002059CA"/>
    <w:rsid w:val="0036514A"/>
    <w:rsid w:val="003A33F2"/>
    <w:rsid w:val="004366A8"/>
    <w:rsid w:val="00452A16"/>
    <w:rsid w:val="00480BAF"/>
    <w:rsid w:val="00502BA7"/>
    <w:rsid w:val="005162F1"/>
    <w:rsid w:val="00523635"/>
    <w:rsid w:val="00535153"/>
    <w:rsid w:val="00554F82"/>
    <w:rsid w:val="0056390D"/>
    <w:rsid w:val="005719B0"/>
    <w:rsid w:val="005D10D6"/>
    <w:rsid w:val="00607FEF"/>
    <w:rsid w:val="006C0098"/>
    <w:rsid w:val="00700467"/>
    <w:rsid w:val="00721EFA"/>
    <w:rsid w:val="00745F98"/>
    <w:rsid w:val="007B51E0"/>
    <w:rsid w:val="00855E3A"/>
    <w:rsid w:val="008854DA"/>
    <w:rsid w:val="00913BB2"/>
    <w:rsid w:val="009217DD"/>
    <w:rsid w:val="00922CB9"/>
    <w:rsid w:val="00964204"/>
    <w:rsid w:val="00994D7B"/>
    <w:rsid w:val="009E5CD9"/>
    <w:rsid w:val="00A26421"/>
    <w:rsid w:val="00A4293B"/>
    <w:rsid w:val="00A67D50"/>
    <w:rsid w:val="00A8691A"/>
    <w:rsid w:val="00A92106"/>
    <w:rsid w:val="00AC1946"/>
    <w:rsid w:val="00B16F6F"/>
    <w:rsid w:val="00B40063"/>
    <w:rsid w:val="00B41F61"/>
    <w:rsid w:val="00BA46E6"/>
    <w:rsid w:val="00C56C72"/>
    <w:rsid w:val="00CA6457"/>
    <w:rsid w:val="00CB2D53"/>
    <w:rsid w:val="00CC2575"/>
    <w:rsid w:val="00CF0427"/>
    <w:rsid w:val="00D17F2E"/>
    <w:rsid w:val="00D30354"/>
    <w:rsid w:val="00D87546"/>
    <w:rsid w:val="00DF42A0"/>
    <w:rsid w:val="00E01DD4"/>
    <w:rsid w:val="00E464D0"/>
    <w:rsid w:val="00E769FE"/>
    <w:rsid w:val="00EA2CBE"/>
    <w:rsid w:val="00EB3094"/>
    <w:rsid w:val="00F32FEE"/>
    <w:rsid w:val="00FB10BB"/>
    <w:rsid w:val="2522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27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28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6">
    <w:name w:val="Default Paragraph Font"/>
    <w:semiHidden/>
    <w:uiPriority w:val="99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iPriority w:val="99"/>
    <w:rPr>
      <w:sz w:val="18"/>
      <w:szCs w:val="18"/>
    </w:rPr>
  </w:style>
  <w:style w:type="paragraph" w:styleId="12">
    <w:name w:val="footer"/>
    <w:basedOn w:val="1"/>
    <w:link w:val="44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5">
    <w:name w:val="Title"/>
    <w:basedOn w:val="1"/>
    <w:next w:val="1"/>
    <w:link w:val="29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Emphasis"/>
    <w:basedOn w:val="16"/>
    <w:qFormat/>
    <w:uiPriority w:val="99"/>
    <w:rPr>
      <w:rFonts w:ascii="Calibri" w:hAnsi="Calibri" w:cs="Times New Roman"/>
      <w:b/>
      <w:i/>
      <w:iCs/>
    </w:rPr>
  </w:style>
  <w:style w:type="character" w:customStyle="1" w:styleId="20">
    <w:name w:val="Heading 1 Char"/>
    <w:basedOn w:val="16"/>
    <w:link w:val="2"/>
    <w:qFormat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1">
    <w:name w:val="Heading 2 Char"/>
    <w:basedOn w:val="16"/>
    <w:link w:val="3"/>
    <w:semiHidden/>
    <w:qFormat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2">
    <w:name w:val="Heading 3 Char"/>
    <w:basedOn w:val="16"/>
    <w:link w:val="4"/>
    <w:semiHidden/>
    <w:qFormat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3">
    <w:name w:val="Heading 4 Char"/>
    <w:basedOn w:val="16"/>
    <w:link w:val="5"/>
    <w:semiHidden/>
    <w:qFormat/>
    <w:locked/>
    <w:uiPriority w:val="99"/>
    <w:rPr>
      <w:rFonts w:cs="Times New Roman"/>
      <w:b/>
      <w:bCs/>
      <w:sz w:val="28"/>
      <w:szCs w:val="28"/>
    </w:rPr>
  </w:style>
  <w:style w:type="character" w:customStyle="1" w:styleId="24">
    <w:name w:val="Heading 5 Char"/>
    <w:basedOn w:val="16"/>
    <w:link w:val="6"/>
    <w:semiHidden/>
    <w:qFormat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5">
    <w:name w:val="Heading 6 Char"/>
    <w:basedOn w:val="16"/>
    <w:link w:val="7"/>
    <w:semiHidden/>
    <w:qFormat/>
    <w:locked/>
    <w:uiPriority w:val="99"/>
    <w:rPr>
      <w:rFonts w:cs="Times New Roman"/>
      <w:b/>
      <w:bCs/>
    </w:rPr>
  </w:style>
  <w:style w:type="character" w:customStyle="1" w:styleId="26">
    <w:name w:val="Heading 7 Char"/>
    <w:basedOn w:val="16"/>
    <w:link w:val="8"/>
    <w:semiHidden/>
    <w:qFormat/>
    <w:locked/>
    <w:uiPriority w:val="99"/>
    <w:rPr>
      <w:rFonts w:cs="Times New Roman"/>
      <w:sz w:val="24"/>
      <w:szCs w:val="24"/>
    </w:rPr>
  </w:style>
  <w:style w:type="character" w:customStyle="1" w:styleId="27">
    <w:name w:val="Heading 8 Char"/>
    <w:basedOn w:val="16"/>
    <w:link w:val="9"/>
    <w:semiHidden/>
    <w:qFormat/>
    <w:locked/>
    <w:uiPriority w:val="99"/>
    <w:rPr>
      <w:rFonts w:cs="Times New Roman"/>
      <w:i/>
      <w:iCs/>
      <w:sz w:val="24"/>
      <w:szCs w:val="24"/>
    </w:rPr>
  </w:style>
  <w:style w:type="character" w:customStyle="1" w:styleId="28">
    <w:name w:val="Heading 9 Char"/>
    <w:basedOn w:val="16"/>
    <w:link w:val="10"/>
    <w:semiHidden/>
    <w:locked/>
    <w:uiPriority w:val="99"/>
    <w:rPr>
      <w:rFonts w:ascii="Cambria" w:hAnsi="Cambria" w:eastAsia="宋体" w:cs="Times New Roman"/>
    </w:rPr>
  </w:style>
  <w:style w:type="character" w:customStyle="1" w:styleId="29">
    <w:name w:val="Title Char"/>
    <w:basedOn w:val="16"/>
    <w:link w:val="15"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30">
    <w:name w:val="Subtitle Char"/>
    <w:basedOn w:val="16"/>
    <w:link w:val="14"/>
    <w:locked/>
    <w:uiPriority w:val="99"/>
    <w:rPr>
      <w:rFonts w:ascii="Cambria" w:hAnsi="Cambria" w:eastAsia="宋体" w:cs="Times New Roman"/>
      <w:sz w:val="24"/>
      <w:szCs w:val="24"/>
    </w:rPr>
  </w:style>
  <w:style w:type="paragraph" w:styleId="31">
    <w:name w:val="No Spacing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32">
    <w:name w:val="List Paragraph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33">
    <w:name w:val="Quote"/>
    <w:basedOn w:val="1"/>
    <w:next w:val="1"/>
    <w:link w:val="34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34">
    <w:name w:val="Quote Char"/>
    <w:basedOn w:val="16"/>
    <w:link w:val="33"/>
    <w:locked/>
    <w:uiPriority w:val="99"/>
    <w:rPr>
      <w:rFonts w:cs="Times New Roman"/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36">
    <w:name w:val="Intense Quote Char"/>
    <w:basedOn w:val="16"/>
    <w:link w:val="35"/>
    <w:locked/>
    <w:uiPriority w:val="99"/>
    <w:rPr>
      <w:rFonts w:cs="Times New Roman"/>
      <w:b/>
      <w:i/>
      <w:sz w:val="24"/>
    </w:rPr>
  </w:style>
  <w:style w:type="character" w:customStyle="1" w:styleId="37">
    <w:name w:val="Subtle Emphasis"/>
    <w:basedOn w:val="16"/>
    <w:qFormat/>
    <w:uiPriority w:val="99"/>
    <w:rPr>
      <w:rFonts w:cs="Times New Roman"/>
      <w:i/>
      <w:color w:val="5A5A5A"/>
    </w:rPr>
  </w:style>
  <w:style w:type="character" w:customStyle="1" w:styleId="38">
    <w:name w:val="Intense Emphasis"/>
    <w:basedOn w:val="16"/>
    <w:qFormat/>
    <w:uiPriority w:val="99"/>
    <w:rPr>
      <w:rFonts w:cs="Times New Roman"/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99"/>
    <w:rPr>
      <w:rFonts w:cs="Times New Roman"/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99"/>
    <w:rPr>
      <w:rFonts w:cs="Times New Roman"/>
      <w:b/>
      <w:sz w:val="24"/>
      <w:u w:val="single"/>
    </w:rPr>
  </w:style>
  <w:style w:type="character" w:customStyle="1" w:styleId="41">
    <w:name w:val="Book Title"/>
    <w:basedOn w:val="16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2">
    <w:name w:val="TOC Heading"/>
    <w:basedOn w:val="2"/>
    <w:next w:val="1"/>
    <w:qFormat/>
    <w:uiPriority w:val="99"/>
    <w:pPr>
      <w:outlineLvl w:val="9"/>
    </w:pPr>
    <w:rPr>
      <w:lang w:eastAsia="en-US"/>
    </w:rPr>
  </w:style>
  <w:style w:type="character" w:customStyle="1" w:styleId="43">
    <w:name w:val="Header Char"/>
    <w:basedOn w:val="16"/>
    <w:link w:val="1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4">
    <w:name w:val="Footer Char"/>
    <w:basedOn w:val="16"/>
    <w:link w:val="12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5">
    <w:name w:val="Balloon Text Char"/>
    <w:basedOn w:val="16"/>
    <w:link w:val="11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394</Words>
  <Characters>2247</Characters>
  <Lines>0</Lines>
  <Paragraphs>0</Paragraphs>
  <TotalTime>89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军15099010608</cp:lastModifiedBy>
  <cp:lastPrinted>2018-12-31T10:56:00Z</cp:lastPrinted>
  <dcterms:modified xsi:type="dcterms:W3CDTF">2019-01-28T05:59:02Z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