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2018年度新疆喀什地区泽普县残疾人联合会部门决算公开说明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hint="eastAsia" w:ascii="黑体" w:hAnsi="黑体" w:eastAsia="仿宋_GB2312" w:cs="宋体"/>
          <w:bCs/>
          <w:kern w:val="0"/>
          <w:sz w:val="32"/>
          <w:szCs w:val="32"/>
          <w:lang w:eastAsia="zh-CN"/>
        </w:rPr>
      </w:pPr>
      <w:r>
        <w:rPr>
          <w:rFonts w:hint="eastAsia" w:ascii="仿宋_GB2312" w:eastAsia="仿宋_GB2312"/>
          <w:sz w:val="32"/>
          <w:szCs w:val="32"/>
        </w:rPr>
        <w:t>泽普县残疾人联合会主要职能：残联是县人民政府领导联系残疾人的残疾人自身代表组织、社会福利团体、社会管理机构和事业管理机构融为一体的残疾人事业团体，具有“代表、服务、管理”职能；代表残疾人的共同利益，维护残疾人合法权益，开展各项业务活动，直接为残疾人服务。县残联由县人民政府领导，承担县人民政府委托的部分行政职能，业务上接受有关部门对口指导，并与各兄弟县（市）建立业务关系。主要职责是：(一）听取残疾人意见，反映残疾人需求，维护残疾人权益，为残疾人服务。(二）团结、教育残疾人遵守法律、履行应尽的义务，发扬乐观进取精神，自尊、自信、自强、自立，为社会主义建设贡献力量。(三）弘扬人道主义，宣传残疾人事业，沟通政府、社会与残疾人之间的联系，动员社会理解、尊重、关心、帮助残疾人。(四）开展残疾人康复、教育、劳动就业、扶贫、文化、科研、用品供应、福利、社会服务、无障碍设施和残疾预防等工作，创造良好的环境和条件，扶助残疾人平等参与社会生活。(五）协助县人民政府组织实施残疾人事业法规、政策、规划和计划。(六）承担县人民政府残疾人工作协调委员会的日常工作，做好综合、组织、协调和服务。(七）组织实施残疾人分散按比例就业工作，指导监督和管理残联系统的残疾人福利企业。(八）开展为残疾人事业的募捐、助残活动，开发管理残疾人福利基金。(九）开展残疾人事业的对外交流和合作。(十)承办县委、县人民政府交办的其它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新疆喀什地区泽普县残疾人联合会</w:t>
      </w:r>
      <w:r>
        <w:rPr>
          <w:rFonts w:hint="eastAsia" w:ascii="仿宋_GB2312" w:eastAsia="仿宋_GB2312"/>
          <w:sz w:val="32"/>
          <w:szCs w:val="32"/>
        </w:rPr>
        <w:t>部门决算包括：</w:t>
      </w:r>
      <w:r>
        <w:rPr>
          <w:rFonts w:ascii="仿宋_GB2312" w:eastAsia="仿宋_GB2312"/>
          <w:sz w:val="32"/>
          <w:szCs w:val="32"/>
        </w:rPr>
        <w:t>新疆喀什地区泽普县残疾人联合会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新疆喀什地区泽普县残疾人联合会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新疆喀什地区泽普县残疾人联合会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292.88</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，与上年相比，增加52.46万元，增长21.82%，增加的主要原因是：</w:t>
      </w:r>
      <w:r>
        <w:rPr>
          <w:rFonts w:hint="eastAsia" w:ascii="仿宋_GB2312" w:eastAsia="仿宋_GB2312"/>
          <w:color w:val="000000" w:themeColor="text1"/>
          <w:sz w:val="32"/>
          <w:szCs w:val="32"/>
        </w:rPr>
        <w:t>残疾人康复经费项目增加；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313.99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，与上年相比，增加118.44万元，增长60.57%，增加的主要原因是：</w:t>
      </w:r>
      <w:r>
        <w:rPr>
          <w:rFonts w:hint="eastAsia" w:ascii="仿宋_GB2312" w:eastAsia="仿宋_GB2312"/>
          <w:color w:val="000000" w:themeColor="text1"/>
          <w:sz w:val="32"/>
          <w:szCs w:val="32"/>
        </w:rPr>
        <w:t>残疾人康复经费项目增加；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23.76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，与上年相比，减少21.11万元，下降47.05%，减少的主要原因是：</w:t>
      </w:r>
      <w:r>
        <w:rPr>
          <w:rFonts w:ascii="仿宋_GB2312" w:eastAsia="仿宋_GB2312"/>
          <w:color w:val="000000" w:themeColor="text1"/>
          <w:sz w:val="32"/>
          <w:szCs w:val="32"/>
        </w:rPr>
        <w:t>政府性基金收入减少。</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292.88</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292.88</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况：本年收入年初预算数209.82万元</w:t>
      </w:r>
      <w:r>
        <w:rPr>
          <w:rFonts w:hint="eastAsia" w:ascii="仿宋_GB2312" w:eastAsia="仿宋_GB2312"/>
          <w:sz w:val="32"/>
          <w:szCs w:val="32"/>
        </w:rPr>
        <w:t>，决算数292.88万元</w:t>
      </w:r>
      <w:r>
        <w:rPr>
          <w:rFonts w:ascii="仿宋_GB2312" w:eastAsia="仿宋_GB2312"/>
          <w:sz w:val="32"/>
          <w:szCs w:val="32"/>
        </w:rPr>
        <w:t>，预决算差异率39.59%，差异主要原因是</w:t>
      </w:r>
      <w:r>
        <w:rPr>
          <w:rFonts w:hint="eastAsia" w:ascii="仿宋_GB2312" w:eastAsia="仿宋_GB2312"/>
          <w:sz w:val="32"/>
          <w:szCs w:val="32"/>
          <w:lang w:val="en-US" w:eastAsia="zh-CN"/>
        </w:rPr>
        <w:t>:</w:t>
      </w:r>
      <w:r>
        <w:rPr>
          <w:rFonts w:ascii="仿宋_GB2312" w:eastAsia="仿宋_GB2312"/>
          <w:sz w:val="32"/>
          <w:szCs w:val="32"/>
        </w:rPr>
        <w:t>人员工资调整及人员增加，使用2017年结余导致预决算差异率。</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313.99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194.69</w:t>
      </w:r>
      <w:r>
        <w:rPr>
          <w:rFonts w:hint="eastAsia" w:ascii="仿宋_GB2312" w:eastAsia="仿宋_GB2312"/>
          <w:color w:val="000000" w:themeColor="text1"/>
          <w:sz w:val="32"/>
          <w:szCs w:val="32"/>
        </w:rPr>
        <w:t>万元，占</w:t>
      </w:r>
      <w:r>
        <w:rPr>
          <w:rFonts w:hint="eastAsia" w:ascii="仿宋_GB2312" w:eastAsia="仿宋_GB2312"/>
          <w:sz w:val="32"/>
          <w:szCs w:val="32"/>
        </w:rPr>
        <w:t>62.01%</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119.29</w:t>
      </w:r>
      <w:r>
        <w:rPr>
          <w:rFonts w:hint="eastAsia" w:ascii="仿宋_GB2312" w:eastAsia="仿宋_GB2312"/>
          <w:color w:val="000000" w:themeColor="text1"/>
          <w:sz w:val="32"/>
          <w:szCs w:val="32"/>
        </w:rPr>
        <w:t>万元，占</w:t>
      </w:r>
      <w:r>
        <w:rPr>
          <w:rFonts w:hint="eastAsia" w:ascii="仿宋_GB2312" w:eastAsia="仿宋_GB2312"/>
          <w:sz w:val="32"/>
          <w:szCs w:val="32"/>
        </w:rPr>
        <w:t>37.99%</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与年初预算数相比情况：本年支出年初预算数209.82万元，</w:t>
      </w:r>
      <w:r>
        <w:rPr>
          <w:rFonts w:hint="eastAsia" w:ascii="仿宋_GB2312" w:eastAsia="仿宋_GB2312"/>
          <w:sz w:val="32"/>
          <w:szCs w:val="32"/>
        </w:rPr>
        <w:t>决算数313.99万元</w:t>
      </w:r>
      <w:r>
        <w:rPr>
          <w:rFonts w:ascii="仿宋_GB2312" w:eastAsia="仿宋_GB2312"/>
          <w:sz w:val="32"/>
          <w:szCs w:val="32"/>
        </w:rPr>
        <w:t>，预决算差异率49.65%，差异主要原因是</w:t>
      </w:r>
      <w:r>
        <w:rPr>
          <w:rFonts w:hint="eastAsia" w:ascii="仿宋_GB2312" w:eastAsia="仿宋_GB2312"/>
          <w:sz w:val="32"/>
          <w:szCs w:val="32"/>
          <w:lang w:val="en-US" w:eastAsia="zh-CN"/>
        </w:rPr>
        <w:t>:</w:t>
      </w:r>
      <w:r>
        <w:rPr>
          <w:rFonts w:ascii="仿宋_GB2312" w:eastAsia="仿宋_GB2312"/>
          <w:sz w:val="32"/>
          <w:szCs w:val="32"/>
        </w:rPr>
        <w:t>2018年支出2017年的结余项目资金。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292.88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，与上年相比，增加52.46万元，增长21.82%，增加的主要原因是：残疾人康复经费项目增加。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313.99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，与上年相比，增加118.44万元，增长60.57%，增加的主要原因是：</w:t>
      </w:r>
      <w:r>
        <w:rPr>
          <w:rFonts w:ascii="仿宋_GB2312" w:eastAsia="仿宋_GB2312"/>
          <w:sz w:val="32"/>
          <w:szCs w:val="32"/>
        </w:rPr>
        <w:t>残疾人康复经费项目增加。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194.69</w:t>
      </w:r>
      <w:r>
        <w:rPr>
          <w:rFonts w:hint="eastAsia" w:ascii="仿宋_GB2312" w:eastAsia="仿宋_GB2312"/>
          <w:color w:val="000000" w:themeColor="text1"/>
          <w:sz w:val="32"/>
          <w:szCs w:val="32"/>
        </w:rPr>
        <w:t>万元，项目支出</w:t>
      </w:r>
      <w:r>
        <w:rPr>
          <w:rFonts w:hint="eastAsia" w:ascii="仿宋_GB2312" w:eastAsia="仿宋_GB2312"/>
          <w:sz w:val="32"/>
          <w:szCs w:val="32"/>
        </w:rPr>
        <w:t>119.29</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23.76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，与上年相比，减少21.11万元，下降47.05%，减少的主要原因是：按八项规定要求缩减经费支出。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209.82</w:t>
      </w:r>
      <w:r>
        <w:rPr>
          <w:rFonts w:hint="eastAsia" w:ascii="仿宋_GB2312" w:eastAsia="仿宋_GB2312"/>
          <w:color w:val="000000" w:themeColor="text1"/>
          <w:sz w:val="32"/>
          <w:szCs w:val="32"/>
        </w:rPr>
        <w:t>万元，决算数</w:t>
      </w:r>
      <w:r>
        <w:rPr>
          <w:rFonts w:hint="eastAsia" w:ascii="仿宋_GB2312" w:eastAsia="仿宋_GB2312"/>
          <w:sz w:val="32"/>
          <w:szCs w:val="32"/>
        </w:rPr>
        <w:t>292.88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，预决算差异率39.59%，差异主要原因是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人员工资调整及人员增加。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209.82</w:t>
      </w:r>
      <w:r>
        <w:rPr>
          <w:rFonts w:hint="eastAsia" w:ascii="仿宋_GB2312" w:eastAsia="仿宋_GB2312"/>
          <w:color w:val="000000" w:themeColor="text1"/>
          <w:sz w:val="32"/>
          <w:szCs w:val="32"/>
        </w:rPr>
        <w:t>万元，决算数</w:t>
      </w:r>
      <w:r>
        <w:rPr>
          <w:rFonts w:hint="eastAsia" w:ascii="仿宋_GB2312" w:eastAsia="仿宋_GB2312"/>
          <w:sz w:val="32"/>
          <w:szCs w:val="32"/>
        </w:rPr>
        <w:t>313.99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，预决算差异率49.65%，差异主要原因是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人员工资调整及人员增加，使用2017年结余导致预决算差异率。</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hint="default" w:ascii="仿宋_GB2312" w:eastAsia="仿宋_GB2312"/>
          <w:color w:val="000000" w:themeColor="text1"/>
          <w:sz w:val="32"/>
          <w:szCs w:val="32"/>
          <w:lang w:val="en-US" w:eastAsia="zh-CN"/>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268.48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，与上年相比，增加55.81万元，增长26.24%，增加的主要原因是：人员工资调整及人员增加。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289.59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，与上年相比，增加108.84万元，增长60.22%，增加的主要原因是：人员工资调整及人员增加。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住房保障支出12.23万元,一般公共服务支出163.97万元,社会保障和就业支出113.39万元。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工资福利支出160.89万元,商品和服务支出11.42万元</w:t>
      </w:r>
      <w:r>
        <w:rPr>
          <w:rFonts w:hint="eastAsia" w:ascii="仿宋_GB2312" w:eastAsia="仿宋_GB2312"/>
          <w:sz w:val="32"/>
          <w:szCs w:val="32"/>
          <w:lang w:eastAsia="zh-CN"/>
        </w:rPr>
        <w:t>，对个人和家庭的补助</w:t>
      </w:r>
      <w:r>
        <w:rPr>
          <w:rFonts w:hint="eastAsia" w:ascii="仿宋_GB2312" w:eastAsia="仿宋_GB2312"/>
          <w:sz w:val="32"/>
          <w:szCs w:val="32"/>
          <w:lang w:val="en-US" w:eastAsia="zh-CN"/>
        </w:rPr>
        <w:t>117.27万元。</w:t>
      </w:r>
      <w:bookmarkStart w:id="92" w:name="_GoBack"/>
      <w:bookmarkEnd w:id="92"/>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209.82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268.48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，预决算差异率27.96%，差异主要原因是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人员工资调整及人员增加。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209.82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289.59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，预决算差异率38.02%，差异主要原因是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人员工资调整及人员增加，使用2017年结余导致预决算差异率。</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24.4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，与上年相比，减少3.35万元，下降12.07%，减少的主要原因是：项目减少。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24.4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，与上年相比，增加9.6万元，增长64.86%，增加的主要原因是：2018年支出2017年的结余资金。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，其他支出24.4万元。按经济分类科目（按类级科目公开），对个人和家庭的补助24.4万元。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24.4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2018年支出2017年的结余资金。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24.4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2018年支出2017年的结余资金。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23.76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。与上年相比，减少21.11万元，下降47.05%</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23.76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。与上年相比，减少21.11万元，下降47.05%。</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2.46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，与上年相比，减少0.8万元，下降24.54%，减少的主要原因是：按八项规定要求缩减经费支出。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w:t>
      </w:r>
      <w:bookmarkEnd w:id="58"/>
      <w:bookmarkStart w:id="60" w:name="OLE_LINK31"/>
      <w:bookmarkStart w:id="61" w:name="OLE_LINK76"/>
      <w:r>
        <w:rPr>
          <w:rFonts w:hint="eastAsia" w:ascii="仿宋_GB2312" w:eastAsia="仿宋_GB2312"/>
          <w:sz w:val="32"/>
          <w:szCs w:val="32"/>
          <w:lang w:eastAsia="zh-CN"/>
        </w:rPr>
        <w:t>。</w:t>
      </w:r>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2.46</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100%，与上年相比，减少0.8万元，下降24.54%，减少的主要原因是：按八项规定要求缩减经费支出；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新疆喀什地区泽普县残疾人联合会</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2.46</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2.46</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车辆加油、保险等。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color w:val="000000" w:themeColor="text1"/>
          <w:sz w:val="32"/>
          <w:szCs w:val="32"/>
          <w:lang w:eastAsia="zh-CN"/>
        </w:rPr>
        <w:t>：</w:t>
      </w:r>
      <w:r>
        <w:rPr>
          <w:rFonts w:hint="eastAsia" w:ascii="仿宋_GB2312" w:eastAsia="仿宋_GB2312"/>
          <w:sz w:val="32"/>
          <w:szCs w:val="32"/>
        </w:rPr>
        <w:t>无</w:t>
      </w:r>
      <w:r>
        <w:rPr>
          <w:rFonts w:hint="eastAsia" w:ascii="仿宋_GB2312" w:eastAsia="仿宋_GB2312"/>
          <w:color w:val="000000" w:themeColor="text1"/>
          <w:sz w:val="32"/>
          <w:szCs w:val="32"/>
        </w:rPr>
        <w:t>。</w:t>
      </w:r>
      <w:bookmarkEnd w:id="78"/>
      <w:bookmarkStart w:id="79" w:name="OLE_LINK84"/>
      <w:r>
        <w:rPr>
          <w:rFonts w:hint="eastAsia" w:ascii="仿宋_GB2312" w:eastAsia="仿宋_GB2312"/>
          <w:sz w:val="32"/>
          <w:szCs w:val="32"/>
        </w:rPr>
        <w:t>新疆喀什地区泽普县残疾人联合会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2.46</w:t>
      </w:r>
      <w:r>
        <w:rPr>
          <w:rFonts w:hint="eastAsia" w:ascii="仿宋_GB2312" w:eastAsia="仿宋_GB2312"/>
          <w:color w:val="000000" w:themeColor="text1"/>
          <w:sz w:val="32"/>
          <w:szCs w:val="32"/>
        </w:rPr>
        <w:t>万元，决算数2.46万元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w:t>
      </w:r>
      <w:bookmarkEnd w:id="81"/>
      <w:bookmarkEnd w:id="82"/>
      <w:bookmarkStart w:id="83" w:name="OLE_LINK88"/>
      <w:bookmarkStart w:id="84" w:name="OLE_LINK89"/>
      <w:r>
        <w:rPr>
          <w:rFonts w:hint="eastAsia" w:ascii="仿宋_GB2312" w:eastAsia="仿宋_GB2312"/>
          <w:color w:val="000000" w:themeColor="text1"/>
          <w:sz w:val="32"/>
          <w:szCs w:val="32"/>
          <w:lang w:eastAsia="zh-CN"/>
        </w:rPr>
        <w:t>。</w:t>
      </w:r>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w:t>
      </w:r>
      <w:bookmarkEnd w:id="83"/>
      <w:bookmarkEnd w:id="84"/>
      <w:bookmarkStart w:id="85" w:name="OLE_LINK90"/>
      <w:r>
        <w:rPr>
          <w:rFonts w:hint="eastAsia" w:ascii="仿宋_GB2312" w:eastAsia="仿宋_GB2312"/>
          <w:color w:val="000000" w:themeColor="text1"/>
          <w:sz w:val="32"/>
          <w:szCs w:val="32"/>
          <w:lang w:eastAsia="zh-CN"/>
        </w:rPr>
        <w:t>。</w:t>
      </w:r>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2.46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2.46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w:t>
      </w:r>
      <w:bookmarkEnd w:id="85"/>
      <w:bookmarkStart w:id="86" w:name="OLE_LINK91"/>
      <w:r>
        <w:rPr>
          <w:rFonts w:hint="eastAsia" w:ascii="仿宋_GB2312" w:eastAsia="仿宋_GB2312"/>
          <w:color w:val="000000" w:themeColor="text1"/>
          <w:sz w:val="32"/>
          <w:szCs w:val="32"/>
          <w:lang w:eastAsia="zh-CN"/>
        </w:rPr>
        <w:t>。</w:t>
      </w:r>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新疆喀什地区泽普县残疾人联合会日常公用经费11.42万元，与上年相比，减少8.08万元，下降41.44%，减少的主要原因是：按八项规定要求缩减经费支出。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26.3</w:t>
      </w:r>
      <w:r>
        <w:rPr>
          <w:rFonts w:hint="eastAsia" w:ascii="仿宋_GB2312" w:eastAsia="仿宋_GB2312"/>
          <w:sz w:val="32"/>
          <w:szCs w:val="32"/>
          <w:lang w:val="en-US" w:eastAsia="zh-CN"/>
        </w:rPr>
        <w:t>3</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25.85</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0.48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37.24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残联业务用车一辆，政府借走一辆；</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目标1：通过开展残疾人基本康复服务，脑瘫儿童康复治疗项目，精神病药物补助和精神病住院补助、残疾人成人康复治疗，贫困白内障患者复明手术，残疾人燃油补助，农村残疾人使用技术培训、残疾人辅助器具购置和适配服务，残疾人青壮年扫盲培训，残疾人无障碍设施改造项目、残疾人评定交通补助按照该项目标准，对残疾人到地区人民医院评残进行补助</w:t>
      </w:r>
      <w:r>
        <w:rPr>
          <w:rFonts w:hint="eastAsia" w:ascii="仿宋_GB2312" w:eastAsia="仿宋_GB2312"/>
          <w:sz w:val="32"/>
          <w:szCs w:val="32"/>
          <w:lang w:eastAsia="zh-CN"/>
        </w:rPr>
        <w:t>。</w:t>
      </w:r>
      <w:r>
        <w:rPr>
          <w:rFonts w:ascii="仿宋_GB2312" w:eastAsia="仿宋_GB2312"/>
          <w:sz w:val="32"/>
          <w:szCs w:val="32"/>
        </w:rPr>
        <w:t>目标2：开展残疾人基本康复服务项目工作，为残疾人购置辅助器具，为肢体、视力、精神的残疾人提供康复服务努力提高受助残疾人生活自理和参与社会的能力，不断提高残疾人的生活水平和康复需求的帮助。为残疾人残疾人生活困难。目标3：农村残疾人是使用技能培训工作，提高了残疾人劳动技能。实施评残交通补助费是党和国家对残疾人的关心关爱</w:t>
      </w:r>
      <w:r>
        <w:rPr>
          <w:rFonts w:hint="eastAsia" w:ascii="仿宋_GB2312" w:eastAsia="仿宋_GB2312"/>
          <w:sz w:val="32"/>
          <w:szCs w:val="32"/>
          <w:lang w:eastAsia="zh-CN"/>
        </w:rPr>
        <w:t>。</w:t>
      </w:r>
      <w:r>
        <w:rPr>
          <w:rFonts w:ascii="仿宋_GB2312" w:eastAsia="仿宋_GB2312"/>
          <w:sz w:val="32"/>
          <w:szCs w:val="32"/>
        </w:rPr>
        <w:t>目标4：通过残疾人实施残疾人各项优惠政策，残疾人的生活生活和需求得到帮助，生活质量和生活水平不断提高。</w:t>
      </w:r>
    </w:p>
    <w:p>
      <w:pPr>
        <w:spacing w:line="540" w:lineRule="exact"/>
        <w:ind w:left="-1" w:right="-1" w:firstLine="646"/>
        <w:jc w:val="left"/>
      </w:pPr>
      <w:r>
        <w:rPr>
          <w:rFonts w:ascii="仿宋_GB2312" w:hAnsi="仿宋_GB2312" w:eastAsia="仿宋_GB2312" w:cs="仿宋_GB2312"/>
          <w:b w:val="0"/>
          <w:color w:val="000000"/>
          <w:sz w:val="32"/>
          <w:u w:val="none"/>
        </w:rPr>
        <w:t>残疾人事业发展补助资金项目绩效自评综述：根据年初设定的绩效目标，该项目绩效自评得分为85分。项目全年预算数</w:t>
      </w:r>
      <w:r>
        <w:rPr>
          <w:rFonts w:hint="eastAsia" w:ascii="仿宋_GB2312" w:hAnsi="仿宋_GB2312" w:eastAsia="仿宋_GB2312" w:cs="仿宋_GB2312"/>
          <w:b w:val="0"/>
          <w:color w:val="000000"/>
          <w:sz w:val="32"/>
          <w:u w:val="none"/>
          <w:lang w:eastAsia="zh-CN"/>
        </w:rPr>
        <w:t>为</w:t>
      </w:r>
      <w:r>
        <w:rPr>
          <w:rFonts w:ascii="仿宋_GB2312" w:hAnsi="仿宋_GB2312" w:eastAsia="仿宋_GB2312" w:cs="仿宋_GB2312"/>
          <w:b w:val="0"/>
          <w:color w:val="000000"/>
          <w:sz w:val="32"/>
          <w:u w:val="none"/>
        </w:rPr>
        <w:t>119.29万元，执行数为119.29万元，完成预算的100%。主要产出和效果：目标1：残疾人成人肢体康复项目：从全县残疾人中筛选20名肢体残疾人进行治疗康复，补助资金6万元，资金全部落实。目标2：农村残疾人实用技术培训项</w:t>
      </w:r>
      <w:r>
        <w:rPr>
          <w:rFonts w:hint="eastAsia" w:ascii="仿宋_GB2312" w:hAnsi="仿宋_GB2312" w:eastAsia="仿宋_GB2312" w:cs="仿宋_GB2312"/>
          <w:b w:val="0"/>
          <w:color w:val="000000"/>
          <w:sz w:val="32"/>
          <w:u w:val="none"/>
          <w:lang w:eastAsia="zh-CN"/>
        </w:rPr>
        <w:t>目</w:t>
      </w:r>
      <w:r>
        <w:rPr>
          <w:rFonts w:ascii="仿宋_GB2312" w:hAnsi="仿宋_GB2312" w:eastAsia="仿宋_GB2312" w:cs="仿宋_GB2312"/>
          <w:b w:val="0"/>
          <w:color w:val="000000"/>
          <w:sz w:val="32"/>
          <w:u w:val="none"/>
        </w:rPr>
        <w:t>90人</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补助资金4.5万元，资金全部落实。目标3：辅助器具购置和残疾人康复和辅助器具适配项目127件</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目标4：脑瘫儿童康复项目</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帮助35个脑瘫儿童开展好治疗康复</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下拨资金46.2万元,脑瘫儿童康复治疗项目已启动，但由于康复治疗训练周期长，资金正在使用中</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目标5：残疾人青壮年扫盲培训项目，下拨资金1.8万元，开展培训10人，每人1000元，已经落实资金1万元，结余资金0.8万元</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目标6：残疾人无障碍设施改造，下拨资金9.1万元，按照项目标准，每</w:t>
      </w:r>
      <w:r>
        <w:rPr>
          <w:rFonts w:hint="eastAsia" w:ascii="仿宋_GB2312" w:hAnsi="仿宋_GB2312" w:eastAsia="仿宋_GB2312" w:cs="仿宋_GB2312"/>
          <w:b w:val="0"/>
          <w:color w:val="000000"/>
          <w:sz w:val="32"/>
          <w:u w:val="none"/>
          <w:lang w:eastAsia="zh-CN"/>
        </w:rPr>
        <w:t>户</w:t>
      </w:r>
      <w:r>
        <w:rPr>
          <w:rFonts w:ascii="仿宋_GB2312" w:hAnsi="仿宋_GB2312" w:eastAsia="仿宋_GB2312" w:cs="仿宋_GB2312"/>
          <w:b w:val="0"/>
          <w:color w:val="000000"/>
          <w:sz w:val="32"/>
          <w:u w:val="none"/>
        </w:rPr>
        <w:t>3500元，资金已经落实9.1万元，资金全部落实</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目标7：贫困精神病患者药费补助项目1.47万元，共补助精神病23人，（精神病药费补助，因残疾人买药收据未妥善保管，所以从重度残疾人中进行了筛选，请示过领导），贫困精神病患者住院补助项目2.4万元，对6名精神残疾人补助，已经落实2名精神残疾人补助0.73万元，结余资金1.67万元</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目标8：残疾人评定补贴，下拨资金0.6万元，</w:t>
      </w:r>
      <w:r>
        <w:rPr>
          <w:rFonts w:hint="eastAsia" w:ascii="仿宋_GB2312" w:hAnsi="仿宋_GB2312" w:eastAsia="仿宋_GB2312" w:cs="仿宋_GB2312"/>
          <w:b w:val="0"/>
          <w:color w:val="000000"/>
          <w:sz w:val="32"/>
          <w:u w:val="none"/>
          <w:lang w:eastAsia="zh-CN"/>
        </w:rPr>
        <w:t>对</w:t>
      </w:r>
      <w:r>
        <w:rPr>
          <w:rFonts w:ascii="仿宋_GB2312" w:hAnsi="仿宋_GB2312" w:eastAsia="仿宋_GB2312" w:cs="仿宋_GB2312"/>
          <w:b w:val="0"/>
          <w:color w:val="000000"/>
          <w:sz w:val="32"/>
          <w:u w:val="none"/>
        </w:rPr>
        <w:t>40名2018年新办证一级二级残疾人发放评残疾补贴</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资金已经落</w:t>
      </w:r>
      <w:r>
        <w:rPr>
          <w:rFonts w:hint="eastAsia" w:ascii="仿宋_GB2312" w:hAnsi="仿宋_GB2312" w:eastAsia="仿宋_GB2312" w:cs="仿宋_GB2312"/>
          <w:b w:val="0"/>
          <w:color w:val="000000"/>
          <w:sz w:val="32"/>
          <w:u w:val="none"/>
          <w:lang w:eastAsia="zh-CN"/>
        </w:rPr>
        <w:t>实</w:t>
      </w:r>
      <w:r>
        <w:rPr>
          <w:rFonts w:ascii="仿宋_GB2312" w:hAnsi="仿宋_GB2312" w:eastAsia="仿宋_GB2312" w:cs="仿宋_GB2312"/>
          <w:b w:val="0"/>
          <w:color w:val="000000"/>
          <w:sz w:val="32"/>
          <w:u w:val="none"/>
        </w:rPr>
        <w:t>0.</w:t>
      </w:r>
      <w:r>
        <w:rPr>
          <w:rFonts w:hint="eastAsia" w:ascii="仿宋_GB2312" w:hAnsi="仿宋_GB2312" w:eastAsia="仿宋_GB2312" w:cs="仿宋_GB2312"/>
          <w:b w:val="0"/>
          <w:color w:val="000000"/>
          <w:sz w:val="32"/>
          <w:u w:val="none"/>
          <w:lang w:val="en-US" w:eastAsia="zh-CN"/>
        </w:rPr>
        <w:t>6</w:t>
      </w:r>
      <w:r>
        <w:rPr>
          <w:rFonts w:ascii="仿宋_GB2312" w:hAnsi="仿宋_GB2312" w:eastAsia="仿宋_GB2312" w:cs="仿宋_GB2312"/>
          <w:b w:val="0"/>
          <w:color w:val="000000"/>
          <w:sz w:val="32"/>
          <w:u w:val="none"/>
        </w:rPr>
        <w:t>万元</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目标9：残疾人机动车燃油补贴项目</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下拨资金11.96万元，按照项目要求，合理分配</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对全县各乡镇持证的241名有机动车的残疾人发放补贴</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每人260元，资金落实6.27万元。剩余219人5.694万元因暂没有符合条件的残疾人拥有代步机动燃油车目前无法落实。能否扩大到使用电瓶车的残疾人，由地区残联向自治区残联请示后决定如何落实。目标10：贫困白内障患者复明手术项目，下拨资金3.6万元万，帮助30个贫困白内障患者免费手术。项目已落实完成，资金尚未拨付手术医院。目标11：残疾人基本康复服务项目，下拨资金22.8万元，已经落实12.72万元，结余资金10.08万元。目标12：残疾人基本服务状况和需求信息数据更新工作经费2万元，资金全部落实完毕。目标13：盲人保健按摩扶持资金项目，下拨资金1万元，对1名视力残疾人扶持，资金全部落实完毕。发现的问题及原因：残疾人事业发展补助项目，资金使用还需要进一步规范；项目档案资料需进一步完善；项目实施成效还需加强。下一步改进措施：对残疾人事业发展补助资金，在使用上根据疾人的实际情况，因地制宜让残疾人享受到国家优惠政策。</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208（类）11（款）04（项）指：残疾人康复。208（类）11（款）05（项）指：残疾人就业和扶贫。208（类）11（款）99（项）指：其他残疾人事业支出。221（类）02（款）01（项）指：住房公积金。201（类）03（款）01（项）指：行政运行。208（类）05（款）05（项）指：机关事业单位基本养老保险缴费支出。229（类）60（款）06（项）指：用于残疾人事业的彩票公益金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1BC79E5"/>
    <w:rsid w:val="13B960C5"/>
    <w:rsid w:val="152777F4"/>
    <w:rsid w:val="15C674B6"/>
    <w:rsid w:val="18D54A0D"/>
    <w:rsid w:val="199B26F9"/>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6E75F0D"/>
    <w:rsid w:val="29680352"/>
    <w:rsid w:val="2A020F75"/>
    <w:rsid w:val="2A764356"/>
    <w:rsid w:val="2B007AEE"/>
    <w:rsid w:val="2BC14C56"/>
    <w:rsid w:val="2C1B026F"/>
    <w:rsid w:val="2C1C5859"/>
    <w:rsid w:val="2CC61F55"/>
    <w:rsid w:val="2EF7452F"/>
    <w:rsid w:val="2F1D13B4"/>
    <w:rsid w:val="2FAA3DA6"/>
    <w:rsid w:val="30682E1F"/>
    <w:rsid w:val="30B95C85"/>
    <w:rsid w:val="30E210D2"/>
    <w:rsid w:val="311371D6"/>
    <w:rsid w:val="31EB64C9"/>
    <w:rsid w:val="33403F42"/>
    <w:rsid w:val="336D0D6F"/>
    <w:rsid w:val="34654798"/>
    <w:rsid w:val="352E4BEC"/>
    <w:rsid w:val="363074D4"/>
    <w:rsid w:val="37DD5594"/>
    <w:rsid w:val="37F4072D"/>
    <w:rsid w:val="38F24FA8"/>
    <w:rsid w:val="3A98342A"/>
    <w:rsid w:val="3AB6780E"/>
    <w:rsid w:val="3AD56D70"/>
    <w:rsid w:val="3AE1739C"/>
    <w:rsid w:val="3B2920C2"/>
    <w:rsid w:val="3BE41ABD"/>
    <w:rsid w:val="3C5421A9"/>
    <w:rsid w:val="3CE82104"/>
    <w:rsid w:val="3D903B21"/>
    <w:rsid w:val="3F440741"/>
    <w:rsid w:val="3F8C4B36"/>
    <w:rsid w:val="41074B7C"/>
    <w:rsid w:val="41FC306C"/>
    <w:rsid w:val="44BE5554"/>
    <w:rsid w:val="451E0908"/>
    <w:rsid w:val="452C2D31"/>
    <w:rsid w:val="45D26E14"/>
    <w:rsid w:val="46195C92"/>
    <w:rsid w:val="46A541B1"/>
    <w:rsid w:val="46C82EF8"/>
    <w:rsid w:val="48C57772"/>
    <w:rsid w:val="49782886"/>
    <w:rsid w:val="4A6F0D28"/>
    <w:rsid w:val="4AAF085C"/>
    <w:rsid w:val="4AEB7E60"/>
    <w:rsid w:val="4B4B135B"/>
    <w:rsid w:val="4BC7055F"/>
    <w:rsid w:val="4CFC7DB2"/>
    <w:rsid w:val="4E2C62DF"/>
    <w:rsid w:val="4E7C187D"/>
    <w:rsid w:val="4EDF797A"/>
    <w:rsid w:val="508941AD"/>
    <w:rsid w:val="50E65530"/>
    <w:rsid w:val="51457139"/>
    <w:rsid w:val="51574DBD"/>
    <w:rsid w:val="51EC1DA8"/>
    <w:rsid w:val="52FC5524"/>
    <w:rsid w:val="532D7A17"/>
    <w:rsid w:val="53661610"/>
    <w:rsid w:val="54AF4562"/>
    <w:rsid w:val="54C9674B"/>
    <w:rsid w:val="556318EA"/>
    <w:rsid w:val="55A60AA1"/>
    <w:rsid w:val="56451615"/>
    <w:rsid w:val="57495D21"/>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ABD6F2E"/>
    <w:rsid w:val="6B2E5CB6"/>
    <w:rsid w:val="6B3D4886"/>
    <w:rsid w:val="6DF8675E"/>
    <w:rsid w:val="6EA80098"/>
    <w:rsid w:val="6F4A0A2C"/>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9D1607A"/>
    <w:rsid w:val="7A4C4C40"/>
    <w:rsid w:val="7AA0518E"/>
    <w:rsid w:val="7AD26E3A"/>
    <w:rsid w:val="7B041636"/>
    <w:rsid w:val="7CA86749"/>
    <w:rsid w:val="7DC476DC"/>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311</TotalTime>
  <ScaleCrop>false</ScaleCrop>
  <LinksUpToDate>false</LinksUpToDate>
  <CharactersWithSpaces>7696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2021-06-09T04:52:10Z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