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2018年度新疆喀什地区泽普县城乡规划局部门决算公开说明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1、贯彻执行国家、省市有关城乡规划的法律、法规和方针、政策；负责拟订本市城乡规划管理方面的规范性文件并指导监督实施；参与研究本县经济和社会发展规划。</w:t>
      </w:r>
      <w:r>
        <w:rPr>
          <w:rFonts w:hint="eastAsia" w:ascii="仿宋_GB2312" w:eastAsia="仿宋_GB2312"/>
          <w:sz w:val="32"/>
          <w:szCs w:val="32"/>
        </w:rPr>
        <w:br w:type="textWrapping"/>
      </w:r>
      <w:r>
        <w:rPr>
          <w:rFonts w:hint="eastAsia" w:ascii="仿宋_GB2312" w:eastAsia="仿宋_GB2312"/>
          <w:sz w:val="32"/>
          <w:szCs w:val="32"/>
        </w:rPr>
        <w:t xml:space="preserve">    2、负责组织拟订和修改市城市总体规划，组织编制控制性详细规划和重要地段修建性详细规划；负责修建性详细规划、专业规划以及城市规划区范围内的乡镇、村规划的审查工作；组织编制城市近期建设规划和年度规划的实施计划。并依法对规划成果进行监督管理。</w:t>
      </w:r>
      <w:r>
        <w:rPr>
          <w:rFonts w:hint="eastAsia" w:ascii="仿宋_GB2312" w:eastAsia="仿宋_GB2312"/>
          <w:sz w:val="32"/>
          <w:szCs w:val="32"/>
        </w:rPr>
        <w:br w:type="textWrapping"/>
      </w:r>
      <w:r>
        <w:rPr>
          <w:rFonts w:hint="eastAsia" w:ascii="仿宋_GB2312" w:eastAsia="仿宋_GB2312"/>
          <w:sz w:val="32"/>
          <w:szCs w:val="32"/>
        </w:rPr>
        <w:t xml:space="preserve">    3、负责县域内城乡建设项目的规划管理；负责核发《建设项目选址意见书》、《乡村建设规划许可证》《建设用地规划许可证》、《建设工程规划许可证》、《临时建设规划许克证。</w:t>
      </w:r>
      <w:r>
        <w:rPr>
          <w:rFonts w:hint="eastAsia" w:ascii="仿宋_GB2312" w:eastAsia="仿宋_GB2312"/>
          <w:sz w:val="32"/>
          <w:szCs w:val="32"/>
        </w:rPr>
        <w:br w:type="textWrapping"/>
      </w:r>
      <w:r>
        <w:rPr>
          <w:rFonts w:hint="eastAsia" w:ascii="仿宋_GB2312" w:eastAsia="仿宋_GB2312"/>
          <w:sz w:val="32"/>
          <w:szCs w:val="32"/>
        </w:rPr>
        <w:t xml:space="preserve">    4、负责全县城乡规划的监督检查工作，负责城市规划区违法建设的巡查，核发处罚决定书。</w:t>
      </w:r>
      <w:r>
        <w:rPr>
          <w:rFonts w:hint="eastAsia" w:ascii="仿宋_GB2312" w:eastAsia="仿宋_GB2312"/>
          <w:sz w:val="32"/>
          <w:szCs w:val="32"/>
        </w:rPr>
        <w:br w:type="textWrapping"/>
      </w:r>
      <w:r>
        <w:rPr>
          <w:rFonts w:hint="eastAsia" w:ascii="仿宋_GB2312" w:eastAsia="仿宋_GB2312"/>
          <w:sz w:val="32"/>
          <w:szCs w:val="32"/>
        </w:rPr>
        <w:t xml:space="preserve">    5、负责对全县城乡规划工作的管理以及建筑设计方案的规划审查；负责城市规划设计的管理。</w:t>
      </w:r>
      <w:r>
        <w:rPr>
          <w:rFonts w:hint="eastAsia" w:ascii="仿宋_GB2312" w:eastAsia="仿宋_GB2312"/>
          <w:sz w:val="32"/>
          <w:szCs w:val="32"/>
        </w:rPr>
        <w:br w:type="textWrapping"/>
      </w:r>
      <w:r>
        <w:rPr>
          <w:rFonts w:hint="eastAsia" w:ascii="仿宋_GB2312" w:eastAsia="仿宋_GB2312"/>
          <w:sz w:val="32"/>
          <w:szCs w:val="32"/>
        </w:rPr>
        <w:t xml:space="preserve">    6、参与国土规划、区域规划、江河流域规划、土地利用总体规划的编制和大中型建设项目的可行性研究和论证；参与有关建设项目的扩初设计审核和可行性研究工作；参与对城市国有土地出让计划和供应的管理。</w:t>
      </w:r>
      <w:r>
        <w:rPr>
          <w:rFonts w:hint="eastAsia" w:ascii="仿宋_GB2312" w:eastAsia="仿宋_GB2312"/>
          <w:sz w:val="32"/>
          <w:szCs w:val="32"/>
        </w:rPr>
        <w:br w:type="textWrapping"/>
      </w:r>
      <w:r>
        <w:rPr>
          <w:rFonts w:hint="eastAsia" w:ascii="仿宋_GB2312" w:eastAsia="仿宋_GB2312"/>
          <w:sz w:val="32"/>
          <w:szCs w:val="32"/>
        </w:rPr>
        <w:t xml:space="preserve">    7、负责县城市总体规划的审查与报批；指导监督县的城乡规划管理工作；参与审查城乡建设项目选址。</w:t>
      </w:r>
      <w:r>
        <w:rPr>
          <w:rFonts w:hint="eastAsia" w:ascii="仿宋_GB2312" w:eastAsia="仿宋_GB2312"/>
          <w:sz w:val="32"/>
          <w:szCs w:val="32"/>
        </w:rPr>
        <w:br w:type="textWrapping"/>
      </w:r>
      <w:r>
        <w:rPr>
          <w:rFonts w:hint="eastAsia" w:ascii="仿宋_GB2312" w:eastAsia="仿宋_GB2312"/>
          <w:sz w:val="32"/>
          <w:szCs w:val="32"/>
        </w:rPr>
        <w:t xml:space="preserve">    8、负责指导规划信息和规划展示工作。</w:t>
      </w:r>
      <w:r>
        <w:rPr>
          <w:rFonts w:hint="eastAsia" w:ascii="仿宋_GB2312" w:eastAsia="仿宋_GB2312"/>
          <w:sz w:val="32"/>
          <w:szCs w:val="32"/>
        </w:rPr>
        <w:br w:type="textWrapping"/>
      </w:r>
      <w:r>
        <w:rPr>
          <w:rFonts w:hint="eastAsia" w:ascii="仿宋_GB2312" w:eastAsia="仿宋_GB2312"/>
          <w:sz w:val="32"/>
          <w:szCs w:val="32"/>
        </w:rPr>
        <w:t xml:space="preserve">    9、承办县城乡规划管理委员会办公室的日常工作。</w:t>
      </w:r>
      <w:r>
        <w:rPr>
          <w:rFonts w:hint="eastAsia" w:ascii="仿宋_GB2312" w:eastAsia="仿宋_GB2312"/>
          <w:sz w:val="32"/>
          <w:szCs w:val="32"/>
        </w:rPr>
        <w:br w:type="textWrapping"/>
      </w:r>
      <w:r>
        <w:rPr>
          <w:rFonts w:hint="eastAsia" w:ascii="仿宋_GB2312" w:eastAsia="仿宋_GB2312"/>
          <w:sz w:val="32"/>
          <w:szCs w:val="32"/>
        </w:rPr>
        <w:t xml:space="preserve">    10、承办县政府交办的行政审批事项及其他事项。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新疆喀什地区泽普县城乡规划局</w:t>
      </w:r>
      <w:r>
        <w:rPr>
          <w:rFonts w:hint="eastAsia" w:ascii="仿宋_GB2312" w:eastAsia="仿宋_GB2312"/>
          <w:sz w:val="32"/>
          <w:szCs w:val="32"/>
        </w:rPr>
        <w:t>部门决算包括：</w:t>
      </w:r>
      <w:r>
        <w:rPr>
          <w:rFonts w:ascii="仿宋_GB2312" w:eastAsia="仿宋_GB2312"/>
          <w:sz w:val="32"/>
          <w:szCs w:val="32"/>
        </w:rPr>
        <w:t>新疆喀什地区泽普县城乡规划局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新疆喀什地区泽普县城乡规划局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新疆喀什地区泽普县城乡规划局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124.16</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，与上年相比，增加7.59万元，增长6.51%，增加的主要原因是：</w:t>
      </w:r>
      <w:r>
        <w:rPr>
          <w:rFonts w:hint="eastAsia" w:ascii="仿宋_GB2312" w:eastAsia="仿宋_GB2312"/>
          <w:color w:val="000000" w:themeColor="text1"/>
          <w:sz w:val="32"/>
          <w:szCs w:val="32"/>
        </w:rPr>
        <w:t>人员工资调整；</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124.16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，与上年相比，增加7.59万元，增长6.51%，增加的主要原因是：</w:t>
      </w:r>
      <w:r>
        <w:rPr>
          <w:rFonts w:hint="eastAsia" w:ascii="仿宋_GB2312" w:eastAsia="仿宋_GB2312"/>
          <w:color w:val="000000" w:themeColor="text1"/>
          <w:sz w:val="32"/>
          <w:szCs w:val="32"/>
        </w:rPr>
        <w:t>人员工资调整；</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ascii="仿宋_GB2312" w:eastAsia="仿宋_GB2312"/>
          <w:color w:val="000000" w:themeColor="text1"/>
          <w:sz w:val="32"/>
          <w:szCs w:val="32"/>
        </w:rPr>
        <w:t>无变化。</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124.16</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124.16</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况：本年收入年初预算数121.05万元</w:t>
      </w:r>
      <w:r>
        <w:rPr>
          <w:rFonts w:hint="eastAsia" w:ascii="仿宋_GB2312" w:eastAsia="仿宋_GB2312"/>
          <w:sz w:val="32"/>
          <w:szCs w:val="32"/>
        </w:rPr>
        <w:t>，决算数124.16万元</w:t>
      </w:r>
      <w:r>
        <w:rPr>
          <w:rFonts w:ascii="仿宋_GB2312" w:eastAsia="仿宋_GB2312"/>
          <w:sz w:val="32"/>
          <w:szCs w:val="32"/>
        </w:rPr>
        <w:t>，预决算差异率2.57%，差异主要原因是人员工资调整。</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hint="eastAsia" w:ascii="仿宋_GB2312" w:eastAsia="仿宋_GB2312"/>
          <w:color w:val="000000" w:themeColor="text1"/>
          <w:spacing w:val="-6"/>
          <w:sz w:val="32"/>
          <w:szCs w:val="32"/>
          <w:lang w:val="en-US" w:eastAsia="zh-CN"/>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124.16</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124.16</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与年初预算数相比情况：本年支出年初预算数121.05万元，</w:t>
      </w:r>
      <w:r>
        <w:rPr>
          <w:rFonts w:hint="eastAsia" w:ascii="仿宋_GB2312" w:eastAsia="仿宋_GB2312"/>
          <w:sz w:val="32"/>
          <w:szCs w:val="32"/>
        </w:rPr>
        <w:t>决算数124.16万元</w:t>
      </w:r>
      <w:r>
        <w:rPr>
          <w:rFonts w:ascii="仿宋_GB2312" w:eastAsia="仿宋_GB2312"/>
          <w:sz w:val="32"/>
          <w:szCs w:val="32"/>
        </w:rPr>
        <w:t>，预决算差异率2.57%，差异主要原因是人员工资调整。</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124.16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，与上年相比，增加7.59万元，增长6.51%，增加的主要原因是：人员工资调整。</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124.16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，与上年相比，增加7.59万元，增长6.51%，增加的主要原因是：</w:t>
      </w:r>
      <w:r>
        <w:rPr>
          <w:rFonts w:ascii="仿宋_GB2312" w:eastAsia="仿宋_GB2312"/>
          <w:sz w:val="32"/>
          <w:szCs w:val="32"/>
        </w:rPr>
        <w:t>人员工资调整。</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124.16</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，与上年相比无变化，主要原因是：人员工资调整。</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121.05</w:t>
      </w:r>
      <w:r>
        <w:rPr>
          <w:rFonts w:hint="eastAsia" w:ascii="仿宋_GB2312" w:eastAsia="仿宋_GB2312"/>
          <w:color w:val="000000" w:themeColor="text1"/>
          <w:sz w:val="32"/>
          <w:szCs w:val="32"/>
        </w:rPr>
        <w:t>万元，决算数</w:t>
      </w:r>
      <w:r>
        <w:rPr>
          <w:rFonts w:hint="eastAsia" w:ascii="仿宋_GB2312" w:eastAsia="仿宋_GB2312"/>
          <w:sz w:val="32"/>
          <w:szCs w:val="32"/>
        </w:rPr>
        <w:t>124.16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，预决算差异率2.57%，差异主要原因是人员工资调整。</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121.05</w:t>
      </w:r>
      <w:r>
        <w:rPr>
          <w:rFonts w:hint="eastAsia" w:ascii="仿宋_GB2312" w:eastAsia="仿宋_GB2312"/>
          <w:color w:val="000000" w:themeColor="text1"/>
          <w:sz w:val="32"/>
          <w:szCs w:val="32"/>
        </w:rPr>
        <w:t>万元，决算数</w:t>
      </w:r>
      <w:r>
        <w:rPr>
          <w:rFonts w:hint="eastAsia" w:ascii="仿宋_GB2312" w:eastAsia="仿宋_GB2312"/>
          <w:sz w:val="32"/>
          <w:szCs w:val="32"/>
        </w:rPr>
        <w:t>124.16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，预决算差异率2.57%，差异主要原因是人员工资调整。</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124.16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，与上年相比，增加7.59万元，增长6.51%，增加的主要原因是：人员工资调整。</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124.16</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，与上年相比，增加7.59万元，增长6.51%，增加的主要原因是：人员工资调整。</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住房保障支出9.43万元,城乡社区支出101.06万元,社会保障和就业支出13.67万元。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工资福利支出119.2万元,商品和服务支出3.96万元,对个人和家庭的补助1.01万元。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121.05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124.16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，预决算差异率2.57%，差异主要原因是人员工资调整。</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121.05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124.16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，预决算差异率2.57%，差异主要原因是人员工资调整。</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，与上年相比无变化，主要原因是：2018年度无政府性基金预算财政拨款收入。</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，与上年相比无变化，主要原因是：2018年度无政府性基金预算支出。</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，预决算差异率0%，差异主要原因是无政府性基金预算收入。</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，预决算差异率0%，差异主要原因是无政府性基金。</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2.18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，与上年相比，增加0.53万元，增长32.12%，增加的主要原因是：车辆维修费增加。</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0%，与上年相比无变化，主要原因是：无差异；</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2.18</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100%，与上年相比，增加0.53万元，增长32.12%，增加的主要原因是：车辆维修费增加；</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0%，与上年相比无变化，主要原因是：无公务接待费支出。</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80"/>
      <w:bookmarkStart w:id="66"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新疆喀什地区泽普县城乡规划局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无因公出国（境）费支出。</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2.18</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2.18</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车辆维护正常使用。</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1</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无公务接待费</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新疆喀什地区泽普县城乡规划局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2.18</w:t>
      </w:r>
      <w:r>
        <w:rPr>
          <w:rFonts w:hint="eastAsia" w:ascii="仿宋_GB2312" w:eastAsia="仿宋_GB2312"/>
          <w:color w:val="000000" w:themeColor="text1"/>
          <w:sz w:val="32"/>
          <w:szCs w:val="32"/>
        </w:rPr>
        <w:t>万元，决算数2.18万元</w:t>
      </w:r>
      <w:r>
        <w:rPr>
          <w:rFonts w:ascii="仿宋_GB2312" w:eastAsia="仿宋_GB2312"/>
          <w:color w:val="000000" w:themeColor="text1"/>
          <w:sz w:val="32"/>
          <w:szCs w:val="32"/>
        </w:rPr>
        <w:t>，预决算差异率0%，差异主要原因是无差异。</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，预决算差异率0%，差异主要原因是无因公出国（境）费；</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，预决算差异率0%，差异主要原因是无公务用车购置预算数；</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2.18</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2.18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无公务接待费。</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新疆喀什地区泽普县城乡规划局日常公用经费3.96万元，与上年相比，减少3.95万元，下降49.94%，减少的主要原因是：勤俭节约，减少公用开支。</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1</w:t>
      </w:r>
      <w:r>
        <w:rPr>
          <w:rFonts w:hint="eastAsia" w:ascii="仿宋_GB2312" w:eastAsia="仿宋_GB2312"/>
          <w:color w:val="000000" w:themeColor="text1"/>
          <w:sz w:val="32"/>
          <w:szCs w:val="32"/>
        </w:rPr>
        <w:t>辆，价值</w:t>
      </w:r>
      <w:r>
        <w:rPr>
          <w:rFonts w:hint="eastAsia" w:ascii="仿宋_GB2312" w:eastAsia="仿宋_GB2312"/>
          <w:sz w:val="32"/>
          <w:szCs w:val="32"/>
        </w:rPr>
        <w:t>15.9</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单位公车1辆；</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2018年度，本部门单位预算绩效自评情况：</w:t>
      </w:r>
      <w:r>
        <w:rPr>
          <w:rFonts w:hint="eastAsia" w:ascii="仿宋_GB2312" w:eastAsia="仿宋_GB2312"/>
          <w:sz w:val="32"/>
          <w:szCs w:val="32"/>
          <w:lang w:val="en-US" w:eastAsia="zh-CN"/>
        </w:rPr>
        <w:t>2018年本单位无项目，无项目绩效。</w:t>
      </w:r>
    </w:p>
    <w:p>
      <w:pPr>
        <w:spacing w:line="540" w:lineRule="exact"/>
        <w:jc w:val="center"/>
        <w:rPr>
          <w:rFonts w:ascii="黑体" w:hAnsi="黑体" w:eastAsia="黑体"/>
          <w:sz w:val="32"/>
          <w:szCs w:val="32"/>
        </w:rPr>
      </w:pPr>
      <w:bookmarkStart w:id="92" w:name="_GoBack"/>
      <w:bookmarkEnd w:id="92"/>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221（类）02（款）01（项）指：住房公积金。212（类）01（款）01（项）指：行政运行。208（类）05（款）05（项）指：机关事业单位基本养老保险缴费支出。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4C2A2F"/>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67D5BAA"/>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A7C4479"/>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C63C2"/>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285</TotalTime>
  <ScaleCrop>false</ScaleCrop>
  <LinksUpToDate>false</LinksUpToDate>
  <CharactersWithSpaces>7696</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cp:lastModifiedBy>
  <dcterms:modified xsi:type="dcterms:W3CDTF">2020-04-05T12:43:51Z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