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2018年度新疆喀什地区泽普县发展和改革委员会部门决算公开说明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研究提出全县国民经济和社会发展战略目标。组织编制全县国民经济和社会发展中长期规划、年度计划以及基础产业、支柱产业等专项发展规划。负责计划的综合平衡和计划执行情况的宏观管理。协调和指导行业、乡镇的发展规划。受县政府委托向县人大常委会提交国民经济和社会发展计划的报告。</w:t>
      </w:r>
      <w:r>
        <w:rPr>
          <w:rFonts w:hint="eastAsia" w:ascii="仿宋_GB2312" w:eastAsia="仿宋_GB2312"/>
          <w:sz w:val="32"/>
          <w:szCs w:val="32"/>
        </w:rPr>
        <w:br w:type="textWrapping"/>
      </w:r>
      <w:r>
        <w:rPr>
          <w:rFonts w:hint="eastAsia" w:ascii="仿宋_GB2312" w:eastAsia="仿宋_GB2312"/>
          <w:sz w:val="32"/>
          <w:szCs w:val="32"/>
        </w:rPr>
        <w:t xml:space="preserve">    2、承担指导推进和综合协调经济体制改革、城乡综合配套改革试验的责任。研究经济运行和推进统筹城乡综合配套改革的重大问题并提出建议。组织拟定并协调有关专项经济体制改革方案，会同有关部门搞好重要专项经济体制改革之间的衔接。</w:t>
      </w:r>
      <w:r>
        <w:rPr>
          <w:rFonts w:hint="eastAsia" w:ascii="仿宋_GB2312" w:eastAsia="仿宋_GB2312"/>
          <w:sz w:val="32"/>
          <w:szCs w:val="32"/>
        </w:rPr>
        <w:br w:type="textWrapping"/>
      </w:r>
      <w:r>
        <w:rPr>
          <w:rFonts w:hint="eastAsia" w:ascii="仿宋_GB2312" w:eastAsia="仿宋_GB2312"/>
          <w:sz w:val="32"/>
          <w:szCs w:val="32"/>
        </w:rPr>
        <w:t xml:space="preserve">    3、承担县社会固定资产投资调控，规划重大建设项目和生产力布局的责任。负责拟订全县社会固定资产投资总规模和投资结构的调控目标和办法。负责办理除工业企业技术改造项目以外的其他各类企业投资项目的核准和备案手续。负责办理政府投资项目审批手续。承担全县社会投资、资金、资源的综合平衡工作。</w:t>
      </w:r>
      <w:r>
        <w:rPr>
          <w:rFonts w:hint="eastAsia" w:ascii="仿宋_GB2312" w:eastAsia="仿宋_GB2312"/>
          <w:sz w:val="32"/>
          <w:szCs w:val="32"/>
        </w:rPr>
        <w:br w:type="textWrapping"/>
      </w:r>
      <w:r>
        <w:rPr>
          <w:rFonts w:hint="eastAsia" w:ascii="仿宋_GB2312" w:eastAsia="仿宋_GB2312"/>
          <w:sz w:val="32"/>
          <w:szCs w:val="32"/>
        </w:rPr>
        <w:t xml:space="preserve">    4、编制和组织实施全县重点建设项目中长期规划和年度计划。组织或参与县级重点建设项目可行性研究报告评审，协助项目业主筹措和争取项目建设资金。审批或推荐、转报重点建设项目、限额以上投资项目、高新技术产业化项目、外资项目，负责重点项目和政府投资项目实施中的监督稽查。</w:t>
      </w:r>
      <w:r>
        <w:rPr>
          <w:rFonts w:hint="eastAsia" w:ascii="仿宋_GB2312" w:eastAsia="仿宋_GB2312"/>
          <w:sz w:val="32"/>
          <w:szCs w:val="32"/>
        </w:rPr>
        <w:br w:type="textWrapping"/>
      </w:r>
      <w:r>
        <w:rPr>
          <w:rFonts w:hint="eastAsia" w:ascii="仿宋_GB2312" w:eastAsia="仿宋_GB2312"/>
          <w:sz w:val="32"/>
          <w:szCs w:val="32"/>
        </w:rPr>
        <w:t xml:space="preserve">    5、指导、协调、综合监察全县招投标工作，会同有关行政主管部门贯彻执行《招标投标法》及配套法规、综合性政策。</w:t>
      </w:r>
      <w:r>
        <w:rPr>
          <w:rFonts w:hint="eastAsia" w:ascii="仿宋_GB2312" w:eastAsia="仿宋_GB2312"/>
          <w:sz w:val="32"/>
          <w:szCs w:val="32"/>
        </w:rPr>
        <w:br w:type="textWrapping"/>
      </w:r>
      <w:r>
        <w:rPr>
          <w:rFonts w:hint="eastAsia" w:ascii="仿宋_GB2312" w:eastAsia="仿宋_GB2312"/>
          <w:sz w:val="32"/>
          <w:szCs w:val="32"/>
        </w:rPr>
        <w:t xml:space="preserve">    6、推进经济结构战略性调整。组织拟订综合性产业政策，负责协调一、二、三产业发展的重大问题并衔接平衡相关发展规划和重大政策，做好与国民经济和社会发展规划、计划的衔接平衡。组织拟订现代物流业发展战略、规划和计划，协调解决现代物流业发展的重大问题。</w:t>
      </w:r>
      <w:r>
        <w:rPr>
          <w:rFonts w:hint="eastAsia" w:ascii="仿宋_GB2312" w:eastAsia="仿宋_GB2312"/>
          <w:sz w:val="32"/>
          <w:szCs w:val="32"/>
        </w:rPr>
        <w:br w:type="textWrapping"/>
      </w:r>
      <w:r>
        <w:rPr>
          <w:rFonts w:hint="eastAsia" w:ascii="仿宋_GB2312" w:eastAsia="仿宋_GB2312"/>
          <w:sz w:val="32"/>
          <w:szCs w:val="32"/>
        </w:rPr>
        <w:t xml:space="preserve">    7、研究提出泽普县国土开发保护、区域经济、资源开发、生产力布局和生态环境建设规划，引导和促进全县经济结构合理化和区域经济协调发展，组织编制和实施“以工代赈”计划，扶助贫困乡、村经济发展。</w:t>
      </w:r>
      <w:r>
        <w:rPr>
          <w:rFonts w:hint="eastAsia" w:ascii="仿宋_GB2312" w:eastAsia="仿宋_GB2312"/>
          <w:sz w:val="32"/>
          <w:szCs w:val="32"/>
        </w:rPr>
        <w:br w:type="textWrapping"/>
      </w:r>
      <w:r>
        <w:rPr>
          <w:rFonts w:hint="eastAsia" w:ascii="仿宋_GB2312" w:eastAsia="仿宋_GB2312"/>
          <w:sz w:val="32"/>
          <w:szCs w:val="32"/>
        </w:rPr>
        <w:t xml:space="preserve">    8、贯彻执行价格法律、法规、规章和方针政策，负责组织实施国家和地区价格主管部门制定的商品价格、服务价格和行政事业性收费规定。</w:t>
      </w:r>
      <w:r>
        <w:rPr>
          <w:rFonts w:hint="eastAsia" w:ascii="仿宋_GB2312" w:eastAsia="仿宋_GB2312"/>
          <w:sz w:val="32"/>
          <w:szCs w:val="32"/>
        </w:rPr>
        <w:br w:type="textWrapping"/>
      </w:r>
      <w:r>
        <w:rPr>
          <w:rFonts w:hint="eastAsia" w:ascii="仿宋_GB2312" w:eastAsia="仿宋_GB2312"/>
          <w:sz w:val="32"/>
          <w:szCs w:val="32"/>
        </w:rPr>
        <w:t xml:space="preserve">    9、按照上级重要商品价格和服务价格定价目录和管理办法，负责管理人民生活必需品、自然垄断经营商品、重要的公用事业、重要的公益性服务等商品价格和服务价格，贯彻执行上级物价管理部门制定的实行政府定价、政府指导价的商品价格和服务价格管理办法、作价原则和作价方法；协调、管理、引导已放开的商品价格和服务价格。</w:t>
      </w:r>
      <w:r>
        <w:rPr>
          <w:rFonts w:hint="eastAsia" w:ascii="仿宋_GB2312" w:eastAsia="仿宋_GB2312"/>
          <w:sz w:val="32"/>
          <w:szCs w:val="32"/>
        </w:rPr>
        <w:br w:type="textWrapping"/>
      </w:r>
      <w:r>
        <w:rPr>
          <w:rFonts w:hint="eastAsia" w:ascii="仿宋_GB2312" w:eastAsia="仿宋_GB2312"/>
          <w:sz w:val="32"/>
          <w:szCs w:val="32"/>
        </w:rPr>
        <w:t xml:space="preserve">    10、负责全县市场价格监测体系和价格信息网络建设工作。加强对重要商品价格和服务价格监测，跟踪反馈国家重要经济政策在价格领域的反映，做好价格预测预警。研究市场价格变动对本县价格的影响度并提出政策建议。发布价格信息，引导经营者价格行为。</w:t>
      </w:r>
      <w:r>
        <w:rPr>
          <w:rFonts w:hint="eastAsia" w:ascii="仿宋_GB2312" w:eastAsia="仿宋_GB2312"/>
          <w:sz w:val="32"/>
          <w:szCs w:val="32"/>
        </w:rPr>
        <w:br w:type="textWrapping"/>
      </w:r>
      <w:r>
        <w:rPr>
          <w:rFonts w:hint="eastAsia" w:ascii="仿宋_GB2312" w:eastAsia="仿宋_GB2312"/>
          <w:sz w:val="32"/>
          <w:szCs w:val="32"/>
        </w:rPr>
        <w:t xml:space="preserve">    11、负责组织、指导、协调全县价格、收费监督检查工作，依法查处价格、收费违法行为。负责全县反价格垄断行政执法工作。负责组织实施商品明码标价和收费公示制度，推进价格诚信建设。负责建立和完善价格监督网络，受理价格举报投诉，协调解决价格、收费矛盾纠纷。组织、指导社会监督、舆论监督。</w:t>
      </w:r>
      <w:r>
        <w:rPr>
          <w:rFonts w:hint="eastAsia" w:ascii="仿宋_GB2312" w:eastAsia="仿宋_GB2312"/>
          <w:sz w:val="32"/>
          <w:szCs w:val="32"/>
        </w:rPr>
        <w:br w:type="textWrapping"/>
      </w:r>
      <w:r>
        <w:rPr>
          <w:rFonts w:hint="eastAsia" w:ascii="仿宋_GB2312" w:eastAsia="仿宋_GB2312"/>
          <w:sz w:val="32"/>
          <w:szCs w:val="32"/>
        </w:rPr>
        <w:t xml:space="preserve">    12、负责涉案物品的价格认证工作，指导价格评估、鉴证等价格事务工作。</w:t>
      </w:r>
      <w:r>
        <w:rPr>
          <w:rFonts w:hint="eastAsia" w:ascii="仿宋_GB2312" w:eastAsia="仿宋_GB2312"/>
          <w:sz w:val="32"/>
          <w:szCs w:val="32"/>
        </w:rPr>
        <w:br w:type="textWrapping"/>
      </w:r>
      <w:r>
        <w:rPr>
          <w:rFonts w:hint="eastAsia" w:ascii="仿宋_GB2312" w:eastAsia="仿宋_GB2312"/>
          <w:sz w:val="32"/>
          <w:szCs w:val="32"/>
        </w:rPr>
        <w:t xml:space="preserve">    13、指导全县粮食行业贯彻落实国家和自治区有关粮食流通法规、规章和政策。会同有关部门研究提出全县粮食流通和地方粮油储备中长期规划的建议，承担粮油监测预警、应急责任，指导协调最低收购价，对粮食收购、储存环节的粮食质量安全和原粮卫生进行监督管理，监督检查粮食经营者从事粮食收购、储存、运输、政策性用粮购销活动，执行国家粮食流通统计制度及粮食产销合作。</w:t>
      </w:r>
      <w:r>
        <w:rPr>
          <w:rFonts w:hint="eastAsia" w:ascii="仿宋_GB2312" w:eastAsia="仿宋_GB2312"/>
          <w:sz w:val="32"/>
          <w:szCs w:val="32"/>
        </w:rPr>
        <w:br w:type="textWrapping"/>
      </w:r>
      <w:r>
        <w:rPr>
          <w:rFonts w:hint="eastAsia" w:ascii="仿宋_GB2312" w:eastAsia="仿宋_GB2312"/>
          <w:sz w:val="32"/>
          <w:szCs w:val="32"/>
        </w:rPr>
        <w:t xml:space="preserve">    14、负责研究和提出驻泽部队、武警、人民武装的粮食储备及供应计划；承担驻泽部队、武警、人民武装的粮食储备及供应任务。</w:t>
      </w:r>
      <w:r>
        <w:rPr>
          <w:rFonts w:hint="eastAsia" w:ascii="仿宋_GB2312" w:eastAsia="仿宋_GB2312"/>
          <w:sz w:val="32"/>
          <w:szCs w:val="32"/>
        </w:rPr>
        <w:br w:type="textWrapping"/>
      </w:r>
      <w:r>
        <w:rPr>
          <w:rFonts w:hint="eastAsia" w:ascii="仿宋_GB2312" w:eastAsia="仿宋_GB2312"/>
          <w:sz w:val="32"/>
          <w:szCs w:val="32"/>
        </w:rPr>
        <w:t xml:space="preserve">    15、负责指导编制、衔接对口援疆规划、专项规划和年底计划，跟踪落实援疆规划的实施。</w:t>
      </w:r>
      <w:r>
        <w:rPr>
          <w:rFonts w:hint="eastAsia" w:ascii="仿宋_GB2312" w:eastAsia="仿宋_GB2312"/>
          <w:sz w:val="32"/>
          <w:szCs w:val="32"/>
        </w:rPr>
        <w:br w:type="textWrapping"/>
      </w:r>
      <w:r>
        <w:rPr>
          <w:rFonts w:hint="eastAsia" w:ascii="仿宋_GB2312" w:eastAsia="仿宋_GB2312"/>
          <w:sz w:val="32"/>
          <w:szCs w:val="32"/>
        </w:rPr>
        <w:t xml:space="preserve">    16、承办县委、县政府交办的其他事项。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新疆喀什地区泽普县发展和改革委员会</w:t>
      </w:r>
      <w:r>
        <w:rPr>
          <w:rFonts w:hint="eastAsia" w:ascii="仿宋_GB2312" w:eastAsia="仿宋_GB2312"/>
          <w:sz w:val="32"/>
          <w:szCs w:val="32"/>
        </w:rPr>
        <w:t>部门决算包括：</w:t>
      </w:r>
      <w:r>
        <w:rPr>
          <w:rFonts w:ascii="仿宋_GB2312" w:eastAsia="仿宋_GB2312"/>
          <w:sz w:val="32"/>
          <w:szCs w:val="32"/>
        </w:rPr>
        <w:t>新疆喀什地区泽普县发展和改革委员会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新疆喀什地区泽普县发展和改革委员会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r>
              <w:t>序号</w:t>
            </w:r>
          </w:p>
        </w:tc>
        <w:tc>
          <w:tcPr>
            <w:tcW w:w="3870" w:type="dxa"/>
            <w:vAlign w:val="center"/>
          </w:tcPr>
          <w:p>
            <w:r>
              <w:t>单位名称</w:t>
            </w:r>
          </w:p>
        </w:tc>
        <w:tc>
          <w:tcPr>
            <w:tcW w:w="2538" w:type="dxa"/>
            <w:vAlign w:val="center"/>
          </w:tcPr>
          <w:p>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r>
              <w:t>1</w:t>
            </w:r>
          </w:p>
        </w:tc>
        <w:tc>
          <w:tcPr>
            <w:tcW w:w="3870" w:type="dxa"/>
          </w:tcPr>
          <w:p>
            <w:r>
              <w:t>新疆喀什地区泽普县发展和改革委员会</w:t>
            </w:r>
          </w:p>
        </w:tc>
        <w:tc>
          <w:tcPr>
            <w:tcW w:w="2538" w:type="dxa"/>
            <w:vAlign w:val="center"/>
          </w:tc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350.41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，与上年相比，减少3,319.47万元，下降90.45%，减少的主要原因是：</w:t>
      </w:r>
      <w:r>
        <w:rPr>
          <w:rFonts w:hint="eastAsia" w:ascii="仿宋_GB2312" w:eastAsia="仿宋_GB2312"/>
          <w:color w:val="000000" w:themeColor="text1"/>
          <w:sz w:val="32"/>
          <w:szCs w:val="32"/>
          <w:highlight w:val="none"/>
        </w:rPr>
        <w:t>项目资金减少；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640.27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，与上年相比，减少2,961.17万元，下降82.22%，减少的主要原因是：</w:t>
      </w:r>
      <w:r>
        <w:rPr>
          <w:rFonts w:hint="eastAsia" w:ascii="仿宋_GB2312" w:eastAsia="仿宋_GB2312"/>
          <w:color w:val="000000" w:themeColor="text1"/>
          <w:sz w:val="32"/>
          <w:szCs w:val="32"/>
          <w:highlight w:val="none"/>
          <w:lang w:eastAsia="zh-CN"/>
        </w:rPr>
        <w:t>项目资金减少</w:t>
      </w:r>
      <w:r>
        <w:rPr>
          <w:rFonts w:hint="eastAsia" w:ascii="仿宋_GB2312" w:eastAsia="仿宋_GB2312"/>
          <w:color w:val="000000" w:themeColor="text1"/>
          <w:sz w:val="32"/>
          <w:szCs w:val="32"/>
          <w:highlight w:val="none"/>
        </w:rPr>
        <w:t>；</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129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，与上年相比，减少289.86万元，下降69.2%，减少的主要原因是：</w:t>
      </w:r>
      <w:r>
        <w:rPr>
          <w:rFonts w:ascii="仿宋_GB2312" w:eastAsia="仿宋_GB2312"/>
          <w:color w:val="000000" w:themeColor="text1"/>
          <w:sz w:val="32"/>
          <w:szCs w:val="32"/>
        </w:rPr>
        <w:t>上年结转项目今年实施完毕均支付，结余减少。</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350.41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348.99</w:t>
      </w:r>
      <w:r>
        <w:rPr>
          <w:rFonts w:hint="eastAsia" w:ascii="仿宋_GB2312" w:eastAsia="仿宋_GB2312"/>
          <w:color w:val="000000" w:themeColor="text1"/>
          <w:sz w:val="32"/>
          <w:szCs w:val="32"/>
        </w:rPr>
        <w:t>万元，占</w:t>
      </w:r>
      <w:r>
        <w:rPr>
          <w:rFonts w:hint="eastAsia" w:ascii="仿宋_GB2312" w:eastAsia="仿宋_GB2312"/>
          <w:sz w:val="32"/>
          <w:szCs w:val="32"/>
        </w:rPr>
        <w:t>99.59%</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1.42</w:t>
      </w:r>
      <w:r>
        <w:rPr>
          <w:rFonts w:hint="eastAsia" w:ascii="仿宋_GB2312" w:eastAsia="仿宋_GB2312"/>
          <w:color w:val="000000" w:themeColor="text1"/>
          <w:sz w:val="32"/>
          <w:szCs w:val="32"/>
        </w:rPr>
        <w:t>万元，占</w:t>
      </w:r>
      <w:r>
        <w:rPr>
          <w:rFonts w:hint="eastAsia" w:ascii="仿宋_GB2312" w:eastAsia="仿宋_GB2312"/>
          <w:sz w:val="32"/>
          <w:szCs w:val="32"/>
        </w:rPr>
        <w:t>0.41%</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况：本年收入年初预算数318.01万元</w:t>
      </w:r>
      <w:r>
        <w:rPr>
          <w:rFonts w:hint="eastAsia" w:ascii="仿宋_GB2312" w:eastAsia="仿宋_GB2312"/>
          <w:sz w:val="32"/>
          <w:szCs w:val="32"/>
        </w:rPr>
        <w:t>，决算数350.41万元</w:t>
      </w:r>
      <w:r>
        <w:rPr>
          <w:rFonts w:ascii="仿宋_GB2312" w:eastAsia="仿宋_GB2312"/>
          <w:sz w:val="32"/>
          <w:szCs w:val="32"/>
        </w:rPr>
        <w:t>，预决算差异率10.19%，差异主要原因是艰边、基本工资增加。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640.27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292.28</w:t>
      </w:r>
      <w:r>
        <w:rPr>
          <w:rFonts w:hint="eastAsia" w:ascii="仿宋_GB2312" w:eastAsia="仿宋_GB2312"/>
          <w:color w:val="000000" w:themeColor="text1"/>
          <w:sz w:val="32"/>
          <w:szCs w:val="32"/>
        </w:rPr>
        <w:t>万元，占</w:t>
      </w:r>
      <w:r>
        <w:rPr>
          <w:rFonts w:hint="eastAsia" w:ascii="仿宋_GB2312" w:eastAsia="仿宋_GB2312"/>
          <w:sz w:val="32"/>
          <w:szCs w:val="32"/>
        </w:rPr>
        <w:t>45.65%</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347.99</w:t>
      </w:r>
      <w:r>
        <w:rPr>
          <w:rFonts w:hint="eastAsia" w:ascii="仿宋_GB2312" w:eastAsia="仿宋_GB2312"/>
          <w:color w:val="000000" w:themeColor="text1"/>
          <w:sz w:val="32"/>
          <w:szCs w:val="32"/>
        </w:rPr>
        <w:t>万元，占</w:t>
      </w:r>
      <w:r>
        <w:rPr>
          <w:rFonts w:hint="eastAsia" w:ascii="仿宋_GB2312" w:eastAsia="仿宋_GB2312"/>
          <w:sz w:val="32"/>
          <w:szCs w:val="32"/>
        </w:rPr>
        <w:t>54.35%</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与年初预算数相比情况：本年支出年初预算数318.01万元，</w:t>
      </w:r>
      <w:r>
        <w:rPr>
          <w:rFonts w:hint="eastAsia" w:ascii="仿宋_GB2312" w:eastAsia="仿宋_GB2312"/>
          <w:sz w:val="32"/>
          <w:szCs w:val="32"/>
        </w:rPr>
        <w:t>决算数640.27万元</w:t>
      </w:r>
      <w:r>
        <w:rPr>
          <w:rFonts w:ascii="仿宋_GB2312" w:eastAsia="仿宋_GB2312"/>
          <w:sz w:val="32"/>
          <w:szCs w:val="32"/>
        </w:rPr>
        <w:t>，预决算差异率101.34%，差异主要原因是艰边、基本工资增加。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348.99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，与上年相比，减少3,320.89万元，下降90.49</w:t>
      </w:r>
      <w:r>
        <w:rPr>
          <w:rFonts w:hint="eastAsia" w:ascii="仿宋_GB2312" w:eastAsia="仿宋_GB2312"/>
          <w:sz w:val="32"/>
          <w:szCs w:val="32"/>
          <w:highlight w:val="none"/>
        </w:rPr>
        <w:t>%，减少的主要原因是：项目资金减少。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highlight w:val="none"/>
        </w:rPr>
        <w:t>财政拨款支出</w:t>
      </w:r>
      <w:bookmarkEnd w:id="26"/>
      <w:r>
        <w:rPr>
          <w:rFonts w:hint="eastAsia" w:ascii="仿宋_GB2312" w:eastAsia="仿宋_GB2312"/>
          <w:sz w:val="32"/>
          <w:szCs w:val="32"/>
          <w:highlight w:val="none"/>
        </w:rPr>
        <w:t>638.85</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，与上年相比，减少2,962.59万元，下降82.26%，减少的主要原因是：</w:t>
      </w:r>
      <w:r>
        <w:rPr>
          <w:rFonts w:ascii="仿宋_GB2312" w:eastAsia="仿宋_GB2312"/>
          <w:sz w:val="32"/>
          <w:szCs w:val="32"/>
          <w:highlight w:val="none"/>
        </w:rPr>
        <w:t>项目资金减少。</w:t>
      </w:r>
      <w:bookmarkEnd w:id="27"/>
      <w:bookmarkEnd w:id="28"/>
      <w:bookmarkStart w:id="29" w:name="OLE_LINK61"/>
      <w:r>
        <w:rPr>
          <w:rFonts w:hint="eastAsia" w:ascii="仿宋_GB2312" w:eastAsia="仿宋_GB2312"/>
          <w:color w:val="000000" w:themeColor="text1"/>
          <w:sz w:val="32"/>
          <w:szCs w:val="32"/>
          <w:highlight w:val="none"/>
        </w:rPr>
        <w:t>其中：</w:t>
      </w:r>
      <w:bookmarkStart w:id="30" w:name="OLE_LINK15"/>
      <w:r>
        <w:rPr>
          <w:rFonts w:hint="eastAsia" w:ascii="仿宋_GB2312" w:eastAsia="仿宋_GB2312"/>
          <w:color w:val="000000" w:themeColor="text1"/>
          <w:sz w:val="32"/>
          <w:szCs w:val="32"/>
          <w:highlight w:val="none"/>
        </w:rPr>
        <w:t>基本支出</w:t>
      </w:r>
      <w:bookmarkEnd w:id="30"/>
      <w:r>
        <w:rPr>
          <w:rFonts w:hint="eastAsia" w:ascii="仿宋_GB2312" w:eastAsia="仿宋_GB2312"/>
          <w:sz w:val="32"/>
          <w:szCs w:val="32"/>
          <w:highlight w:val="none"/>
        </w:rPr>
        <w:t>290.86</w:t>
      </w:r>
      <w:r>
        <w:rPr>
          <w:rFonts w:hint="eastAsia" w:ascii="仿宋_GB2312" w:eastAsia="仿宋_GB2312"/>
          <w:color w:val="000000" w:themeColor="text1"/>
          <w:sz w:val="32"/>
          <w:szCs w:val="32"/>
          <w:highlight w:val="none"/>
        </w:rPr>
        <w:t>万元，项目支出</w:t>
      </w:r>
      <w:r>
        <w:rPr>
          <w:rFonts w:hint="eastAsia" w:ascii="仿宋_GB2312" w:eastAsia="仿宋_GB2312"/>
          <w:sz w:val="32"/>
          <w:szCs w:val="32"/>
          <w:highlight w:val="none"/>
        </w:rPr>
        <w:t>347.99</w:t>
      </w:r>
      <w:r>
        <w:rPr>
          <w:rFonts w:hint="eastAsia" w:ascii="仿宋_GB2312" w:eastAsia="仿宋_GB2312"/>
          <w:color w:val="000000" w:themeColor="text1"/>
          <w:sz w:val="32"/>
          <w:szCs w:val="32"/>
          <w:highlight w:val="none"/>
        </w:rPr>
        <w:t>万元。</w:t>
      </w:r>
      <w:bookmarkStart w:id="31" w:name="OLE_LINK16"/>
      <w:r>
        <w:rPr>
          <w:rFonts w:hint="eastAsia" w:ascii="仿宋_GB2312" w:eastAsia="仿宋_GB2312"/>
          <w:color w:val="000000" w:themeColor="text1"/>
          <w:sz w:val="32"/>
          <w:szCs w:val="32"/>
          <w:highlight w:val="none"/>
        </w:rPr>
        <w:t>财政拨款结转</w:t>
      </w:r>
      <w:r>
        <w:rPr>
          <w:rFonts w:hint="eastAsia" w:ascii="仿宋_GB2312" w:eastAsia="仿宋_GB2312"/>
          <w:color w:val="000000" w:themeColor="text1"/>
          <w:sz w:val="32"/>
          <w:szCs w:val="32"/>
        </w:rPr>
        <w:t>结余</w:t>
      </w:r>
      <w:bookmarkEnd w:id="31"/>
      <w:r>
        <w:rPr>
          <w:rFonts w:hint="eastAsia" w:ascii="仿宋_GB2312" w:eastAsia="仿宋_GB2312"/>
          <w:sz w:val="32"/>
          <w:szCs w:val="32"/>
        </w:rPr>
        <w:t>129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，与上年相比，减少289.86万元，下降69.2%，减少的主要原因是：上年结转项目今年实施完毕均支付，结余减少。</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318.01</w:t>
      </w:r>
      <w:r>
        <w:rPr>
          <w:rFonts w:hint="eastAsia" w:ascii="仿宋_GB2312" w:eastAsia="仿宋_GB2312"/>
          <w:color w:val="000000" w:themeColor="text1"/>
          <w:sz w:val="32"/>
          <w:szCs w:val="32"/>
        </w:rPr>
        <w:t>万元，决算数</w:t>
      </w:r>
      <w:r>
        <w:rPr>
          <w:rFonts w:hint="eastAsia" w:ascii="仿宋_GB2312" w:eastAsia="仿宋_GB2312"/>
          <w:sz w:val="32"/>
          <w:szCs w:val="32"/>
        </w:rPr>
        <w:t>348.99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，预决算差异率9.74%，差异主要原因是艰边、</w:t>
      </w:r>
      <w:r>
        <w:rPr>
          <w:rFonts w:ascii="仿宋_GB2312" w:eastAsia="仿宋_GB2312"/>
          <w:color w:val="000000" w:themeColor="text1"/>
          <w:sz w:val="32"/>
          <w:szCs w:val="32"/>
          <w:highlight w:val="none"/>
        </w:rPr>
        <w:t>基本工资增加，部分干部工资晋升。</w:t>
      </w:r>
      <w:bookmarkEnd w:id="32"/>
      <w:bookmarkStart w:id="33" w:name="OLE_LINK63"/>
      <w:r>
        <w:rPr>
          <w:rFonts w:hint="eastAsia" w:ascii="仿宋_GB2312" w:eastAsia="仿宋_GB2312"/>
          <w:color w:val="000000" w:themeColor="text1"/>
          <w:sz w:val="32"/>
          <w:szCs w:val="32"/>
          <w:highlight w:val="none"/>
        </w:rPr>
        <w:t>财政拨款支出年初预算数</w:t>
      </w:r>
      <w:r>
        <w:rPr>
          <w:rFonts w:ascii="仿宋_GB2312" w:eastAsia="仿宋_GB2312"/>
          <w:color w:val="000000" w:themeColor="text1"/>
          <w:sz w:val="32"/>
          <w:szCs w:val="32"/>
          <w:highlight w:val="none"/>
        </w:rPr>
        <w:t>318.01</w:t>
      </w:r>
      <w:r>
        <w:rPr>
          <w:rFonts w:hint="eastAsia" w:ascii="仿宋_GB2312" w:eastAsia="仿宋_GB2312"/>
          <w:color w:val="000000" w:themeColor="text1"/>
          <w:sz w:val="32"/>
          <w:szCs w:val="32"/>
          <w:highlight w:val="none"/>
        </w:rPr>
        <w:t>万元，决算数</w:t>
      </w:r>
      <w:r>
        <w:rPr>
          <w:rFonts w:hint="eastAsia" w:ascii="仿宋_GB2312" w:eastAsia="仿宋_GB2312"/>
          <w:sz w:val="32"/>
          <w:szCs w:val="32"/>
          <w:highlight w:val="none"/>
        </w:rPr>
        <w:t>638.85</w:t>
      </w:r>
      <w:r>
        <w:rPr>
          <w:rFonts w:hint="eastAsia" w:ascii="仿宋_GB2312" w:eastAsia="仿宋_GB2312"/>
          <w:color w:val="000000" w:themeColor="text1"/>
          <w:sz w:val="32"/>
          <w:szCs w:val="32"/>
          <w:highlight w:val="none"/>
        </w:rPr>
        <w:t>万元</w:t>
      </w:r>
      <w:r>
        <w:rPr>
          <w:rFonts w:ascii="仿宋_GB2312" w:eastAsia="仿宋_GB2312"/>
          <w:color w:val="000000" w:themeColor="text1"/>
          <w:sz w:val="32"/>
          <w:szCs w:val="32"/>
          <w:highlight w:val="none"/>
        </w:rPr>
        <w:t>，预决算差异率100.89%，差异主要原因是艰边、基本工资增加，部分干部工资晋升。</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348.99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w:t>
      </w:r>
      <w:r>
        <w:rPr>
          <w:rFonts w:ascii="仿宋_GB2312" w:eastAsia="仿宋_GB2312"/>
          <w:color w:val="000000" w:themeColor="text1"/>
          <w:sz w:val="32"/>
          <w:szCs w:val="32"/>
          <w:highlight w:val="none"/>
        </w:rPr>
        <w:t>比，减少3,320.89万元，下降90.49%，减少的主要原因是：项目资金减少。</w:t>
      </w:r>
      <w:bookmarkEnd w:id="34"/>
      <w:bookmarkStart w:id="36" w:name="OLE_LINK18"/>
      <w:bookmarkStart w:id="37" w:name="OLE_LINK65"/>
      <w:r>
        <w:rPr>
          <w:rFonts w:hint="eastAsia" w:ascii="仿宋_GB2312" w:eastAsia="仿宋_GB2312"/>
          <w:color w:val="000000" w:themeColor="text1"/>
          <w:sz w:val="32"/>
          <w:szCs w:val="32"/>
          <w:highlight w:val="none"/>
        </w:rPr>
        <w:t>一般公共预算财政拨款支出</w:t>
      </w:r>
      <w:r>
        <w:rPr>
          <w:rFonts w:hint="eastAsia" w:ascii="仿宋_GB2312" w:eastAsia="仿宋_GB2312"/>
          <w:sz w:val="32"/>
          <w:szCs w:val="32"/>
          <w:highlight w:val="none"/>
        </w:rPr>
        <w:t>638.85</w:t>
      </w:r>
      <w:r>
        <w:rPr>
          <w:rFonts w:hint="eastAsia" w:ascii="仿宋_GB2312" w:eastAsia="仿宋_GB2312"/>
          <w:color w:val="000000" w:themeColor="text1"/>
          <w:sz w:val="32"/>
          <w:szCs w:val="32"/>
          <w:highlight w:val="none"/>
        </w:rPr>
        <w:t>万元</w:t>
      </w:r>
      <w:bookmarkEnd w:id="36"/>
      <w:r>
        <w:rPr>
          <w:rFonts w:hint="eastAsia" w:ascii="仿宋_GB2312" w:eastAsia="仿宋_GB2312"/>
          <w:sz w:val="32"/>
          <w:szCs w:val="32"/>
          <w:highlight w:val="none"/>
        </w:rPr>
        <w:t>，与上年相比，减少2,962.59万元，下降82.26%，减少的主要原因是：项目资金减少。</w:t>
      </w:r>
      <w:bookmarkEnd w:id="37"/>
      <w:r>
        <w:rPr>
          <w:rFonts w:hint="eastAsia" w:ascii="仿宋_GB2312" w:eastAsia="仿宋_GB2312"/>
          <w:color w:val="000000" w:themeColor="text1"/>
          <w:sz w:val="32"/>
          <w:szCs w:val="32"/>
          <w:highlight w:val="none"/>
        </w:rPr>
        <w:t>其中：</w:t>
      </w:r>
      <w:bookmarkStart w:id="38" w:name="OLE_LINK19"/>
      <w:r>
        <w:rPr>
          <w:rFonts w:hint="eastAsia" w:ascii="仿宋_GB2312" w:eastAsia="仿宋_GB2312"/>
          <w:color w:val="000000" w:themeColor="text1"/>
          <w:sz w:val="32"/>
          <w:szCs w:val="32"/>
          <w:highlight w:val="none"/>
        </w:rPr>
        <w:t>按功能分类科目（按类级科目公开）</w:t>
      </w:r>
      <w:bookmarkEnd w:id="38"/>
      <w:r>
        <w:rPr>
          <w:rFonts w:hint="eastAsia" w:ascii="仿宋_GB2312" w:eastAsia="仿宋_GB2312"/>
          <w:color w:val="000000" w:themeColor="text1"/>
          <w:sz w:val="32"/>
          <w:szCs w:val="32"/>
          <w:highlight w:val="none"/>
        </w:rPr>
        <w:t>，</w:t>
      </w:r>
      <w:r>
        <w:rPr>
          <w:rFonts w:hint="eastAsia" w:ascii="仿宋_GB2312" w:eastAsia="仿宋_GB2312"/>
          <w:sz w:val="32"/>
          <w:szCs w:val="32"/>
          <w:highlight w:val="none"/>
        </w:rPr>
        <w:t>住房保障支出16.44万元,一</w:t>
      </w:r>
      <w:r>
        <w:rPr>
          <w:rFonts w:hint="eastAsia" w:ascii="仿宋_GB2312" w:eastAsia="仿宋_GB2312"/>
          <w:sz w:val="32"/>
          <w:szCs w:val="32"/>
        </w:rPr>
        <w:t>般公共服务支出457.75万元,农林水支出58.13万元,其他支出81.86万元,社会保障和就业支出24.68万元。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工资福利支出234.12万元,商品和服务支出41.41万元,对个人和家庭的补助14.36万元,资本性支出（基本建设）347.99万元,资本性支出0.97万元。</w:t>
      </w:r>
    </w:p>
    <w:p>
      <w:pPr>
        <w:spacing w:line="540" w:lineRule="exact"/>
        <w:ind w:firstLine="640" w:firstLineChars="200"/>
        <w:rPr>
          <w:rFonts w:hint="eastAsia" w:ascii="仿宋_GB2312" w:eastAsia="仿宋_GB2312"/>
          <w:color w:val="000000" w:themeColor="text1"/>
          <w:sz w:val="32"/>
          <w:szCs w:val="32"/>
          <w:lang w:eastAsia="zh-CN"/>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318.01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348.99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，预决算差异率9.74%，差异主要原因是艰边、基本工资增加，部分干部工资晋升。</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318.01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638.85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，预决算差异率100.89%</w:t>
      </w:r>
      <w:r>
        <w:rPr>
          <w:rFonts w:ascii="仿宋_GB2312" w:eastAsia="仿宋_GB2312"/>
          <w:color w:val="000000" w:themeColor="text1"/>
          <w:sz w:val="32"/>
          <w:szCs w:val="32"/>
          <w:highlight w:val="none"/>
        </w:rPr>
        <w:t>，差异主要原因是</w:t>
      </w:r>
      <w:bookmarkEnd w:id="43"/>
      <w:r>
        <w:rPr>
          <w:rFonts w:ascii="仿宋_GB2312" w:eastAsia="仿宋_GB2312"/>
          <w:color w:val="000000" w:themeColor="text1"/>
          <w:sz w:val="32"/>
          <w:szCs w:val="32"/>
          <w:highlight w:val="none"/>
        </w:rPr>
        <w:t>艰</w:t>
      </w:r>
      <w:r>
        <w:rPr>
          <w:rFonts w:ascii="仿宋_GB2312" w:eastAsia="仿宋_GB2312"/>
          <w:color w:val="000000" w:themeColor="text1"/>
          <w:sz w:val="32"/>
          <w:szCs w:val="32"/>
        </w:rPr>
        <w:t>边、基本工资增加，部分干部工资晋升</w:t>
      </w:r>
      <w:r>
        <w:rPr>
          <w:rFonts w:hint="eastAsia" w:ascii="仿宋_GB2312" w:eastAsia="仿宋_GB2312"/>
          <w:color w:val="000000" w:themeColor="text1"/>
          <w:sz w:val="32"/>
          <w:szCs w:val="32"/>
          <w:lang w:eastAsia="zh-CN"/>
        </w:rPr>
        <w:t>。</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，与上年相比无变化，主要原因是：2018年无政府性基金收入。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，与上年相比无变化，主要原因是：2018年无政府性基金支出。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129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。与上年相比，减少289.86万元，下降69.2%</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129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。与上年相比，减少289.86万元，下降69.2%。</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12.95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，与上年相比，减少46.2万元，下降78.11%，减少的主要原因是：压缩三公经费，接待费减少。</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0%，与上年相比无变化，主要原因是：无因公出国（境）支出；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10.59</w:t>
      </w:r>
      <w:r>
        <w:rPr>
          <w:rFonts w:hint="eastAsia" w:ascii="仿宋_GB2312" w:eastAsia="仿宋_GB2312"/>
          <w:color w:val="000000" w:themeColor="text1"/>
          <w:sz w:val="32"/>
          <w:szCs w:val="32"/>
        </w:rPr>
        <w:t>万元，占</w:t>
      </w:r>
      <w:r>
        <w:rPr>
          <w:rFonts w:hint="eastAsia" w:ascii="仿宋_GB2312" w:eastAsia="仿宋_GB2312"/>
          <w:sz w:val="32"/>
          <w:szCs w:val="32"/>
        </w:rPr>
        <w:t>81.78%，与上年相比，增加3.94万元，增长59.25%，增加的主要原因是：增加援疆办车辆一辆，运行维护费增加；</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2.36</w:t>
      </w:r>
      <w:r>
        <w:rPr>
          <w:rFonts w:hint="eastAsia" w:ascii="仿宋_GB2312" w:eastAsia="仿宋_GB2312"/>
          <w:color w:val="000000" w:themeColor="text1"/>
          <w:sz w:val="32"/>
          <w:szCs w:val="32"/>
        </w:rPr>
        <w:t>万元，占</w:t>
      </w:r>
      <w:r>
        <w:rPr>
          <w:rFonts w:hint="eastAsia" w:ascii="仿宋_GB2312" w:eastAsia="仿宋_GB2312"/>
          <w:sz w:val="32"/>
          <w:szCs w:val="32"/>
        </w:rPr>
        <w:t>18.22%，与上年相比，减少50.14万元，下降95.5%，减少的主要原因是：压缩三公经费。</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新疆喀什地区泽普县发展和改革委员会</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无因公出国（境）支出。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10.59</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10.59</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主要用于支付车辆的维修费、汽油费、过路费等费用</w:t>
      </w:r>
      <w:r>
        <w:rPr>
          <w:rFonts w:hint="eastAsia" w:ascii="仿宋_GB2312" w:eastAsia="仿宋_GB2312"/>
          <w:sz w:val="32"/>
          <w:szCs w:val="32"/>
          <w:lang w:eastAsia="zh-CN"/>
        </w:rPr>
        <w:t>等</w:t>
      </w:r>
      <w:r>
        <w:rPr>
          <w:rFonts w:hint="eastAsia" w:ascii="仿宋_GB2312" w:eastAsia="仿宋_GB2312"/>
          <w:sz w:val="32"/>
          <w:szCs w:val="32"/>
          <w:highlight w:val="none"/>
        </w:rPr>
        <w:t>。</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3</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2.36</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2.36</w:t>
      </w:r>
      <w:r>
        <w:rPr>
          <w:rFonts w:hint="eastAsia" w:ascii="仿宋_GB2312" w:eastAsia="仿宋_GB2312"/>
          <w:color w:val="000000" w:themeColor="text1"/>
          <w:sz w:val="32"/>
          <w:szCs w:val="32"/>
        </w:rPr>
        <w:t>万元，主要是</w:t>
      </w:r>
      <w:r>
        <w:rPr>
          <w:rFonts w:hint="eastAsia" w:ascii="仿宋_GB2312" w:eastAsia="仿宋_GB2312"/>
          <w:sz w:val="32"/>
          <w:szCs w:val="32"/>
        </w:rPr>
        <w:t>国内公务接待2.36万元</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新疆喀什地区泽普县发展和改革委员会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27</w:t>
      </w:r>
      <w:r>
        <w:rPr>
          <w:rFonts w:hint="eastAsia" w:ascii="仿宋_GB2312" w:eastAsia="仿宋_GB2312"/>
          <w:color w:val="000000" w:themeColor="text1"/>
          <w:sz w:val="32"/>
          <w:szCs w:val="32"/>
        </w:rPr>
        <w:t>批次，</w:t>
      </w:r>
      <w:r>
        <w:rPr>
          <w:rFonts w:hint="eastAsia" w:ascii="仿宋_GB2312" w:eastAsia="仿宋_GB2312"/>
          <w:sz w:val="32"/>
          <w:szCs w:val="32"/>
        </w:rPr>
        <w:t>393</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12.95</w:t>
      </w:r>
      <w:r>
        <w:rPr>
          <w:rFonts w:hint="eastAsia" w:ascii="仿宋_GB2312" w:eastAsia="仿宋_GB2312"/>
          <w:color w:val="000000" w:themeColor="text1"/>
          <w:sz w:val="32"/>
          <w:szCs w:val="32"/>
        </w:rPr>
        <w:t>万元，决算数12.95万元</w:t>
      </w:r>
      <w:r>
        <w:rPr>
          <w:rFonts w:ascii="仿宋_GB2312" w:eastAsia="仿宋_GB2312"/>
          <w:color w:val="000000" w:themeColor="text1"/>
          <w:sz w:val="32"/>
          <w:szCs w:val="32"/>
        </w:rPr>
        <w:t>，预决算差异率0%，差异主要原因是无差异。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，预决算差异率0%，差异主要原因是无公务用车购置数；</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10.59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10.59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2.36</w:t>
      </w:r>
      <w:r>
        <w:rPr>
          <w:rFonts w:hint="eastAsia" w:ascii="仿宋_GB2312" w:eastAsia="仿宋_GB2312"/>
          <w:color w:val="000000" w:themeColor="text1"/>
          <w:sz w:val="32"/>
          <w:szCs w:val="32"/>
        </w:rPr>
        <w:t>万元，决算数2.36万元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2018年度新疆喀什地区泽普县发展和改革委员会机关运行经费支出42.38万元，与上年相比，减少38.25万元，下降47.44%，减少的主要原因是：压缩三公经费。</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1.08</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1.08</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3</w:t>
      </w:r>
      <w:r>
        <w:rPr>
          <w:rFonts w:hint="eastAsia" w:ascii="仿宋_GB2312" w:eastAsia="仿宋_GB2312"/>
          <w:color w:val="000000" w:themeColor="text1"/>
          <w:sz w:val="32"/>
          <w:szCs w:val="32"/>
        </w:rPr>
        <w:t>辆，价值</w:t>
      </w:r>
      <w:r>
        <w:rPr>
          <w:rFonts w:hint="eastAsia" w:ascii="仿宋_GB2312" w:eastAsia="仿宋_GB2312"/>
          <w:sz w:val="32"/>
          <w:szCs w:val="32"/>
        </w:rPr>
        <w:t>68.69</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发改委办公车辆一辆及援疆办车辆一辆；</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bookmarkStart w:id="92" w:name="_GoBack"/>
      <w:bookmarkEnd w:id="92"/>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完成泽普县依玛乡托万古勒巴格村村级阵地规范化建设和续建工程项目；阿克塔木乡阿其克亚村防渗渠建设项目；泽普县奎依巴格乡汗艾热克村文体广场建设项目；泽普县布依鲁克乡布依鲁克村防渗渠建设项目。</w:t>
      </w:r>
    </w:p>
    <w:p>
      <w:pPr>
        <w:spacing w:line="540" w:lineRule="exact"/>
        <w:ind w:left="-1" w:right="-1" w:firstLine="646"/>
        <w:jc w:val="left"/>
        <w:rPr>
          <w:rFonts w:eastAsia="仿宋_GB2312"/>
        </w:rPr>
      </w:pPr>
      <w:r>
        <w:rPr>
          <w:rFonts w:ascii="仿宋_GB2312" w:hAnsi="仿宋_GB2312" w:eastAsia="仿宋_GB2312" w:cs="仿宋_GB2312"/>
          <w:sz w:val="32"/>
        </w:rPr>
        <w:t>1、村民服务中心建设项目绩效自评综述：根据年初设定的绩效目标，该项目绩效自评得分为100分。项目全年预算数为208万元，执行数为208万元，完成预算的100%。主要产出和效果：为我县的村民提供了办公议事、文体活动、宣传教育、技能培训、文艺演出、婚丧嫁娶的活动场所，为更好的服务人民群众的提供了平台，使人民群众的物质文化生活水平得到了提高，同时也极大的解决了工作组生产生活的需要，实现了基层组织工作有力量、活动有阵地，基层干部生活有保障的目标，是改善基层阵地基础设施的有效措施，加强村级服务型党组织建设，倡导社会新风尚、淡化宗教氛围、维护社会，更好地凝聚民心发挥重要作用，对于满足群众不断增长的物质和文化需要，丰富和提高群众的思想文化素质，从而达到智志双扶和去极端化的目的发挥重要的作用。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下一步改进措施：无</w:t>
      </w:r>
      <w:r>
        <w:rPr>
          <w:rFonts w:hint="eastAsia" w:ascii="仿宋_GB2312" w:hAnsi="仿宋_GB2312" w:eastAsia="仿宋_GB2312" w:cs="仿宋_GB2312"/>
          <w:sz w:val="32"/>
        </w:rPr>
        <w:t>。</w:t>
      </w:r>
    </w:p>
    <w:p>
      <w:pPr>
        <w:spacing w:line="540" w:lineRule="exact"/>
        <w:ind w:left="-1" w:right="-1" w:firstLine="646"/>
        <w:jc w:val="left"/>
        <w:rPr>
          <w:rFonts w:eastAsia="仿宋_GB2312"/>
        </w:rPr>
      </w:pPr>
      <w:r>
        <w:rPr>
          <w:rFonts w:ascii="仿宋_GB2312" w:hAnsi="仿宋_GB2312" w:eastAsia="仿宋_GB2312" w:cs="仿宋_GB2312"/>
          <w:sz w:val="32"/>
        </w:rPr>
        <w:t>2、以工代赈项目绩效自评综述：根据年初设定的绩效目标，该项目绩效自评得分为99分。项目全年预算数为58.13万元，执行数为58.13万元，完成预算的100%。主要产出和效果：建立项目主管单位和项目建设单位定期沟通交流机制，对项目建设存在的问题、档案资料完整性等定期进行沟通交流，共同做好项目建设管理，切实发挥好以工代赈项目扶贫资金的使用效益。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下一步改进措施：无</w:t>
      </w:r>
      <w:r>
        <w:rPr>
          <w:rFonts w:hint="eastAsia" w:ascii="仿宋_GB2312" w:hAnsi="仿宋_GB2312" w:eastAsia="仿宋_GB2312" w:cs="仿宋_GB2312"/>
          <w:sz w:val="32"/>
        </w:rPr>
        <w:t>。</w:t>
      </w:r>
    </w:p>
    <w:p>
      <w:pPr>
        <w:spacing w:line="540" w:lineRule="exact"/>
        <w:ind w:left="-1" w:right="-1" w:firstLine="646"/>
        <w:jc w:val="left"/>
        <w:rPr>
          <w:rFonts w:eastAsia="仿宋_GB2312"/>
        </w:rPr>
      </w:pPr>
      <w:r>
        <w:rPr>
          <w:rFonts w:ascii="仿宋_GB2312" w:hAnsi="仿宋_GB2312" w:eastAsia="仿宋_GB2312" w:cs="仿宋_GB2312"/>
          <w:sz w:val="32"/>
        </w:rPr>
        <w:t>3、较少民族项目绩效自评综述：根据年初设定的绩效目标，该项目绩效自评得分为70分。项目全年预算数为273万元，执行数为81.86万元，完成预算的29.98%。主要产出和效果：1、依玛乡托万古勒巴格村村级阵地规范化建设和续建工程项目能保证项目区人民正常的生活需要，大大增加本村富裕劳动力的就业率。2、阿克塔木乡阿其克亚村防渗渠的建成，可以使该项目区高低不平杂乱无章的地块达到灌水均匀的目标，通过修建防渗渠以及渠系建筑物，减少渗漏损失，缩短灌溉时间，提高水资源的利用率。3、奎依巴格乡汗艾热克村文体广场建设项目建设可以较大程度改善项目建设村村民的业余文化活动，满足全村人日益增长的体育保健需要。4、布依鲁克乡布依鲁克村防渗渠建设项目，可以使该项目区高低不平杂乱无章的地块达到灌水均匀的目标，通过修建防渗渠以及渠系建筑物，减少渗漏损失，缩短灌溉时间，提高水资源的利用率。发现的问题及原因：项目开展的程序还需进一步规范；项目档案资料需进一步完善；项目实施成效还需加强，需加大项目实施进度。下一步改进措施：无</w:t>
      </w:r>
      <w:r>
        <w:rPr>
          <w:rFonts w:hint="eastAsia" w:ascii="仿宋_GB2312" w:hAnsi="仿宋_GB2312" w:eastAsia="仿宋_GB2312" w:cs="仿宋_GB2312"/>
          <w:sz w:val="32"/>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04（款）01（项）指：行政运行。221（类）02（款）01（项）指：住房公积金。213（类）05（款）04（项）指：农村基础设施建设。229（类）99（款）01（项）指：其他支出。201（类）99（款）99（项）指：其他一般公共服务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- 9 -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3F77A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0E6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94C42"/>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E7F2B16"/>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0D009E"/>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402662"/>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910784"/>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semiHidden/>
    <w:unhideWhenUsed/>
    <w:qFormat/>
    <w:uiPriority w:val="99"/>
    <w:rPr>
      <w:b/>
      <w:bCs/>
    </w:rPr>
  </w:style>
  <w:style w:type="paragraph" w:styleId="3">
    <w:name w:val="annotation text"/>
    <w:basedOn w:val="1"/>
    <w:link w:val="12"/>
    <w:semiHidden/>
    <w:unhideWhenUsed/>
    <w:qFormat/>
    <w:uiPriority w:val="99"/>
    <w:pPr>
      <w:jc w:val="left"/>
    </w:pPr>
  </w:style>
  <w:style w:type="paragraph" w:styleId="4">
    <w:name w:val="Balloon Text"/>
    <w:basedOn w:val="1"/>
    <w:link w:val="14"/>
    <w:semiHidden/>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semiHidden/>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1204</Words>
  <Characters>6864</Characters>
  <Lines>57</Lines>
  <Paragraphs>16</Paragraphs>
  <TotalTime>1</TotalTime>
  <ScaleCrop>false</ScaleCrop>
  <LinksUpToDate>false</LinksUpToDate>
  <CharactersWithSpaces>8052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2019-11-22T09:13:56Z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