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2018年度新疆喀什地区泽普县市场监督管理局部门决算公开说明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自治区、地区有关食品药品监督管理、工商行政管理、质量技术监督等方面的法律、法规和政策；拟订相关规范性文件和政策、措施并组织实施。（2）、拟订并组织实施市场监督管理事业发展规划和技术机构建设规划；组织推进质量发展工作。（3）、负责涉及食品药品监督管理、工商行政管理、质量技术监督的各类行政审批和行政许可并监督管理。组织查处违反食品药品监督管理、工商行政管理、质量技术监督法律、法规、规章的行为。（4）、依法承担对各类市场经营秩序监管责任，维护公平竞争的市场经营秩序；组织开展企业信用体系建设，推进政府企业信用、行业信用建设，实施信用分类管理；依法监督管理经纪人、经纪机构及经纪活动。（5）、依法承担消费者权益保护责任，建立消费者权益保护体系，组织指导消费维权工作；负责做好涉及食品药品监督管理、工商行政管理、质量技术监督的申诉和举报工作。（6）、依法实施合同行政监督管理，规范合同行为；负责商标监督管理工作；承担辖区内酒类流通管理职责。（7）、依法承担质量监督管理工作。负责质量宏观管理和产品（商品）质量监督检查工作；组织产品（商品）质量预警、监测工作；依法组织协调重大质量事故的调查处理和缺陷产品（商品）召回制度。（8）、负责管理计量工作；组织推行法定计量单位和国家计量制度；依法管理辖区计量器具及量值传递和比对工作；负责规范和监督商品计量和市场计量行为。（9）、负责管理标准化工作；组织协调和指导推动各部门、各行业的标准化工作；依法组织制定地方标准规范并依法进行监督。（10）、负责合格评定工作；依法负责检验机构及其检验服务活动的监督管理；规范和监督认证市场行为；负责工业产品生产许可证和效能标识的监督管理。（11）、承担本行政区域内特种设备安全监督管理工作，监督检查高耗能特种设备节能标准的执行情况。（12）、依法承担食品安全监督管理工作。负责食品质量监督抽查、检测及处理工作，负责监督实施食品行政许可，承担食品安全检查、整顿治理和食品安全突发事件的应对处置。（13）、负责药品、化妆品、医疗器械的监督管理；监督实施全县药品和医疗器械的标准、分类管理制度，监督实施药品和医疗器械的研制、生产、经营、使用质量等管理规范。开展药品不良反应、医疗器械不良事件监测、报告和处置工作。组织实施化妆品监督管理办法。配合实施国家基本药物制度。（14）、负责食品药品安全事故应急体系建设，组织和指导食品药品安全事故预防控制、应急处置和调查处理工作，监督食品药品安全事故查处落实情况。（15）、负责制定全县市场监督管理、食品药品安全、质量技术监督科技发展规划并组织实施，推动食品药品检验检测体系、电子监管追溯体系、电子营业执照登记注册便利化体系和信息化建设。（16）、指导乡镇（场）市场监督管理工作，规范行政执法行为，完善行政执法与刑事司法衔接机制。（17）、承担县食品安全委员会日常工作。负责食品安全监督管理综合协调，推动健全协调联动机制。督促检查各乡镇（场）人民政府履行食品安全监督管理职责。（18）、承办县委、县人民政府及县食品安全委员会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新疆喀什地区泽普县市场监督管理局</w:t>
      </w:r>
      <w:r>
        <w:rPr>
          <w:rFonts w:hint="eastAsia" w:ascii="仿宋_GB2312" w:eastAsia="仿宋_GB2312"/>
          <w:sz w:val="32"/>
          <w:szCs w:val="32"/>
        </w:rPr>
        <w:t>部门决算包括：</w:t>
      </w:r>
      <w:r>
        <w:rPr>
          <w:rFonts w:ascii="仿宋_GB2312" w:eastAsia="仿宋_GB2312"/>
          <w:sz w:val="32"/>
          <w:szCs w:val="32"/>
        </w:rPr>
        <w:t>新疆喀什地区泽普县市场监督管理局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新疆喀什地区泽普县市场监督管理局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新疆喀什地区泽普县市场监督管理局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995.46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，与上年相比，增加457.31万元，增长84.98%，增加的主要原因是：</w:t>
      </w:r>
      <w:r>
        <w:rPr>
          <w:rFonts w:hint="eastAsia" w:ascii="仿宋_GB2312" w:eastAsia="仿宋_GB2312"/>
          <w:color w:val="000000" w:themeColor="text1"/>
          <w:sz w:val="32"/>
          <w:szCs w:val="32"/>
        </w:rPr>
        <w:t>本年人员工资调资，补发了津贴补贴、绩效等人员经费；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1,019.49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，与上年相比，增加479.25万元，增长88.71%，增加的主要原因是：</w:t>
      </w:r>
      <w:r>
        <w:rPr>
          <w:rFonts w:hint="eastAsia" w:ascii="仿宋_GB2312" w:eastAsia="仿宋_GB2312"/>
          <w:color w:val="000000" w:themeColor="text1"/>
          <w:sz w:val="32"/>
          <w:szCs w:val="32"/>
        </w:rPr>
        <w:t>本年人员工资调资，补发了津贴补贴、绩效奖等人员经费，本年进一步加大了市场、食品药品检查力度，并且上级给我局配发了一辆食品快速检验车，我局支付了相应配套费用20.92万元，上述因素造成本年支出较上年支出增加较大；</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ascii="仿宋_GB2312" w:eastAsia="仿宋_GB2312"/>
          <w:color w:val="000000" w:themeColor="text1"/>
          <w:sz w:val="32"/>
          <w:szCs w:val="32"/>
        </w:rPr>
        <w:t>同上年相比减少了24.03万元，主要是本年进一步加大了市场、食品药品检查力度，并且上级给我局配发了一辆食品快速检验车，我局支付了相应配套费用20.92万元，已有经费无法满足上述支出需求，故用上年结余弥补本年收支差额。</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995.46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994.15</w:t>
      </w:r>
      <w:r>
        <w:rPr>
          <w:rFonts w:hint="eastAsia" w:ascii="仿宋_GB2312" w:eastAsia="仿宋_GB2312"/>
          <w:color w:val="000000" w:themeColor="text1"/>
          <w:sz w:val="32"/>
          <w:szCs w:val="32"/>
        </w:rPr>
        <w:t>万元，占</w:t>
      </w:r>
      <w:r>
        <w:rPr>
          <w:rFonts w:hint="eastAsia" w:ascii="仿宋_GB2312" w:eastAsia="仿宋_GB2312"/>
          <w:sz w:val="32"/>
          <w:szCs w:val="32"/>
        </w:rPr>
        <w:t>99.87%</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1.31</w:t>
      </w:r>
      <w:r>
        <w:rPr>
          <w:rFonts w:hint="eastAsia" w:ascii="仿宋_GB2312" w:eastAsia="仿宋_GB2312"/>
          <w:color w:val="000000" w:themeColor="text1"/>
          <w:sz w:val="32"/>
          <w:szCs w:val="32"/>
        </w:rPr>
        <w:t>万元，占</w:t>
      </w:r>
      <w:r>
        <w:rPr>
          <w:rFonts w:hint="eastAsia" w:ascii="仿宋_GB2312" w:eastAsia="仿宋_GB2312"/>
          <w:sz w:val="32"/>
          <w:szCs w:val="32"/>
        </w:rPr>
        <w:t>0.13%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况：本年收入年初预算数958.5</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，决算数995.46万元</w:t>
      </w:r>
      <w:r>
        <w:rPr>
          <w:rFonts w:ascii="仿宋_GB2312" w:eastAsia="仿宋_GB2312"/>
          <w:sz w:val="32"/>
          <w:szCs w:val="32"/>
        </w:rPr>
        <w:t>，预决算差异率3.86%，差异主要原因是</w:t>
      </w:r>
      <w:r>
        <w:rPr>
          <w:rFonts w:hint="eastAsia" w:ascii="仿宋_GB2312" w:eastAsia="仿宋_GB2312"/>
          <w:sz w:val="32"/>
          <w:szCs w:val="32"/>
          <w:lang w:val="en-US" w:eastAsia="zh-CN"/>
        </w:rPr>
        <w:t>:</w:t>
      </w:r>
      <w:r>
        <w:rPr>
          <w:rFonts w:ascii="仿宋_GB2312" w:eastAsia="仿宋_GB2312"/>
          <w:sz w:val="32"/>
          <w:szCs w:val="32"/>
        </w:rPr>
        <w:t>其他收入13,124.60元（组织部拨入四同伙食经费11721.84元，银行存款利息收入1402.76元），因工资调资、补发津补贴、绩效工资等人员支出，财政追加了人员经费。</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1,019.49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1,001.31</w:t>
      </w:r>
      <w:r>
        <w:rPr>
          <w:rFonts w:hint="eastAsia" w:ascii="仿宋_GB2312" w:eastAsia="仿宋_GB2312"/>
          <w:color w:val="000000" w:themeColor="text1"/>
          <w:sz w:val="32"/>
          <w:szCs w:val="32"/>
        </w:rPr>
        <w:t>万元，占</w:t>
      </w:r>
      <w:r>
        <w:rPr>
          <w:rFonts w:hint="eastAsia" w:ascii="仿宋_GB2312" w:eastAsia="仿宋_GB2312"/>
          <w:sz w:val="32"/>
          <w:szCs w:val="32"/>
        </w:rPr>
        <w:t>98.22%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18.19</w:t>
      </w:r>
      <w:r>
        <w:rPr>
          <w:rFonts w:hint="eastAsia" w:ascii="仿宋_GB2312" w:eastAsia="仿宋_GB2312"/>
          <w:color w:val="000000" w:themeColor="text1"/>
          <w:sz w:val="32"/>
          <w:szCs w:val="32"/>
        </w:rPr>
        <w:t>万元，占</w:t>
      </w:r>
      <w:r>
        <w:rPr>
          <w:rFonts w:hint="eastAsia" w:ascii="仿宋_GB2312" w:eastAsia="仿宋_GB2312"/>
          <w:sz w:val="32"/>
          <w:szCs w:val="32"/>
        </w:rPr>
        <w:t>1.78%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与年初预算数相比情况：本年支出年初预算数958.5</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决算数1,019.49万元</w:t>
      </w:r>
      <w:r>
        <w:rPr>
          <w:rFonts w:ascii="仿宋_GB2312" w:eastAsia="仿宋_GB2312"/>
          <w:sz w:val="32"/>
          <w:szCs w:val="32"/>
        </w:rPr>
        <w:t>，预决算差异率6.36%，差异主要原因是</w:t>
      </w:r>
      <w:r>
        <w:rPr>
          <w:rFonts w:hint="eastAsia" w:ascii="仿宋_GB2312" w:eastAsia="仿宋_GB2312"/>
          <w:sz w:val="32"/>
          <w:szCs w:val="32"/>
          <w:lang w:val="en-US" w:eastAsia="zh-CN"/>
        </w:rPr>
        <w:t>:</w:t>
      </w:r>
      <w:r>
        <w:rPr>
          <w:rFonts w:ascii="仿宋_GB2312" w:eastAsia="仿宋_GB2312"/>
          <w:sz w:val="32"/>
          <w:szCs w:val="32"/>
        </w:rPr>
        <w:t>本年人员工资调资，补发了津贴补贴、绩效奖等人员经费，本年进一步加大了市场、食品药品检查力度，并且上级给我局配发了一辆食品快速检验车，我局支付了相应配套费用20.92万元，上述因素造成本年支出同年初预算相比支出较大。</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994.15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，与上年相比，增加456.13万元，增长84.78%，增加的主要原因是：本年人员工资调资，补发了津贴补贴、绩效等人员经费。</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1,018.18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，与上年相比，增加478.16万元，增长88.54%，增加的主要原因是：</w:t>
      </w:r>
      <w:r>
        <w:rPr>
          <w:rFonts w:ascii="仿宋_GB2312" w:eastAsia="仿宋_GB2312"/>
          <w:sz w:val="32"/>
          <w:szCs w:val="32"/>
        </w:rPr>
        <w:t>本年人员工资调资，补发了津贴补贴、绩效奖等人员经费，本年进一步加大了市场、食品药品检查力度，并且上级给我局配发了一辆食品快速检验车，我局支付了相应配套费用20.92万元，上述因素造成本年支出较上年支出增加较大。</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999.99</w:t>
      </w:r>
      <w:r>
        <w:rPr>
          <w:rFonts w:hint="eastAsia" w:ascii="仿宋_GB2312" w:eastAsia="仿宋_GB2312"/>
          <w:color w:val="000000" w:themeColor="text1"/>
          <w:sz w:val="32"/>
          <w:szCs w:val="32"/>
        </w:rPr>
        <w:t>万元，项目支出</w:t>
      </w:r>
      <w:r>
        <w:rPr>
          <w:rFonts w:hint="eastAsia" w:ascii="仿宋_GB2312" w:eastAsia="仿宋_GB2312"/>
          <w:sz w:val="32"/>
          <w:szCs w:val="32"/>
        </w:rPr>
        <w:t>18.19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年进一步加大了市场、食品药品检查力度，并且上级给我局配发了一辆食品快速检验车，我局支付了相应配套费用20.92万元，已有经费无法满足上述支出需求，故用上年结余弥补本年收支差额。</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958.5</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hint="eastAsia" w:ascii="仿宋_GB2312" w:eastAsia="仿宋_GB2312"/>
          <w:sz w:val="32"/>
          <w:szCs w:val="32"/>
        </w:rPr>
        <w:t>994.15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因工资调资、补发津补贴、绩效工资等人员支出，财政追加了人员经费。</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958.5</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hint="eastAsia" w:ascii="仿宋_GB2312" w:eastAsia="仿宋_GB2312"/>
          <w:sz w:val="32"/>
          <w:szCs w:val="32"/>
        </w:rPr>
        <w:t>1,018.18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，预决算差异率6.23%，差异主要原因是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人员工资调资，补发了津贴补贴、绩效奖等人员经费，本年进一步加大了市场、食品药品检查力度，并且上级给我局配发了一辆食品快速检验车，我局支付了相应配套费用20.92万元，上述因素造成本年支出较上年支出增加较大。</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994.15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，与上年相比，增加456.13万元，增长84.78%，增加的主要原因是：因工资调资、补发津补贴、绩效工资等人员支出，财政追加了人员经费。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1,018.18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478.16万元，增长88.54%，增加的主要原因是：本年人员工资调资，补发了津贴补贴、绩效奖等人员经费，本年进一步加大了市场、食品药品检查力度，并且上级给我局配发了一辆食品快速检验车，我局支付了相应配套费用20.92万元，上述因素造成本年支出较上年支出增加较大。</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医疗卫生与计划生育支出162.65万元,住房保障支出66.46万元,一般公共服务支出686.16万元,社会保障和就业支出102.91万元。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工资福利支出919.61万元,商品和服务支出42.37万元,对个人和家庭的补助33.05万元,资本性支出23.15万元。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958.5</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994.15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因工资调资、补发津补贴、绩效工资等人员支出，财政追加了人员经费。</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958.5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1,018.18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，预决算差异率6.23%，差异主要原因是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人员工资调资，补发了津贴补贴、绩效奖等人员经费，本年进一步加大了市场、食品药品检查力度，并且上级给我局配发了一辆食品快速检验车，我局支付了相应配套费用20.92万元，上述因素造成本年支出较上年支出增加较大。</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，与上年相比无变化，主要原因是：同上年一致，无政府性基金预算财政拨款收入。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，与上年相比无变化，主要原因是：同上年一致，无政府性基金预算财政拨款支出。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同上年一致，无政府性基金预算财政拨款收入。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同上年一致，无政府性基金预算财政拨款支出。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3.56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，与上年相比，减少5.02万元，下降58.51%，减少的主要原因是：本年“三公”经费支出均为“公务用车运行维护费”，有5车辆都是待报废车辆，外出较少，从而相应费用较少。</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0%，与上年相比无变化，主要原因是：同上年一致，无因公出国（境）费支出；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3.56</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100%，与上年相比，减少5.02万元，下降58.51%，减少的主要原因是：有5车辆都是待报废车辆，外出较少，从而相应费用较少；</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0%，与上年相比无变化，主要原因是：同上年一致，无公务接待费支出。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新疆喀什地区泽普县市场监督管理局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3.56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3.56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车辆保险、车辆维修及车辆燃油费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9</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color w:val="000000" w:themeColor="text1"/>
          <w:sz w:val="32"/>
          <w:szCs w:val="32"/>
          <w:lang w:val="en-US" w:eastAsia="zh-CN"/>
        </w:rPr>
        <w:t>:</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新疆喀什地区泽普县市场监督管理局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3.56</w:t>
      </w:r>
      <w:r>
        <w:rPr>
          <w:rFonts w:hint="eastAsia" w:ascii="仿宋_GB2312" w:eastAsia="仿宋_GB2312"/>
          <w:color w:val="000000" w:themeColor="text1"/>
          <w:sz w:val="32"/>
          <w:szCs w:val="32"/>
        </w:rPr>
        <w:t>万元，决算数3.56万元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同上年一致，本年车辆无变化。</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本年无因公出国（境）费预算；</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本年无公务用车购置预算；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3.56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本年车辆无变化；</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本年无公务接待费。</w:t>
      </w:r>
      <w:bookmarkStart w:id="92" w:name="_GoBack"/>
      <w:bookmarkEnd w:id="92"/>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市场监督管理局机关运行经费支出47.34万元，与上年相比，增加7.24万元，增长18.05%，增加的主要原因是：本年进一步加大了市场、食品药品检查力度，并且上级给我局配发了一辆食品快速检验车，我局支付了相应配套费用20.92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9</w:t>
      </w:r>
      <w:r>
        <w:rPr>
          <w:rFonts w:hint="eastAsia" w:ascii="仿宋_GB2312" w:eastAsia="仿宋_GB2312"/>
          <w:color w:val="000000" w:themeColor="text1"/>
          <w:sz w:val="32"/>
          <w:szCs w:val="32"/>
        </w:rPr>
        <w:t>辆，价值</w:t>
      </w:r>
      <w:r>
        <w:rPr>
          <w:rFonts w:hint="eastAsia" w:ascii="仿宋_GB2312" w:eastAsia="仿宋_GB2312"/>
          <w:sz w:val="32"/>
          <w:szCs w:val="32"/>
        </w:rPr>
        <w:t>141.44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7</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均是皮卡车，用于日常业务工作；</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按照党的十九大关于“建立全面规范透明、标准科学、约束有力的预算制度，全面实施绩效管理”的要求，推动财政资源配置效率和使用效益不断提升，进一步提高财政资源配置效率和使用效益。</w:t>
      </w:r>
    </w:p>
    <w:p>
      <w:pPr>
        <w:spacing w:line="540" w:lineRule="exact"/>
        <w:ind w:left="-1" w:right="-1" w:firstLine="646"/>
        <w:jc w:val="left"/>
      </w:pPr>
      <w:r>
        <w:rPr>
          <w:rFonts w:ascii="仿宋_GB2312" w:hAnsi="仿宋_GB2312" w:eastAsia="仿宋_GB2312" w:cs="仿宋_GB2312"/>
          <w:b w:val="0"/>
          <w:color w:val="auto"/>
          <w:sz w:val="32"/>
          <w:u w:val="none"/>
        </w:rPr>
        <w:t>1、食品药品安全监督日常监管项目绩效自评综述：根据年初设定的绩效目标，该项目绩效自评得分为95分。项目全年预算数为17.13万元，执行数为17.13万元，完成预算的100%。主要产出和效果：对我县辖区内所有食品生产、销售企业、个体工商户，生产、销售的食品进行日常监督管理，办理了276户食品经营许可证，检查集贸市场16个，餐饮单位800余家，对我县食用农产品进行抽样检测，完成食用农产品进行抽样检测192批次。对我县68家医疗机构，62家药品零售单位及1家药品生产企业进行检查。净化了市场，维护市场经济秩序，有效促进了经济建设。发现的问题及原因：可安排使用资金有限，已有资金无法满足食品药品安全监督日常监管项目支出要求。下一步改进措施：在现有资金的情况下，压缩公用开支，全力做好食品药品安全监督日常监管工作。</w:t>
      </w:r>
    </w:p>
    <w:p>
      <w:pPr>
        <w:spacing w:line="540" w:lineRule="exact"/>
        <w:ind w:left="-1" w:right="-1" w:firstLine="646"/>
        <w:jc w:val="left"/>
      </w:pPr>
      <w:r>
        <w:rPr>
          <w:rFonts w:ascii="仿宋_GB2312" w:hAnsi="仿宋_GB2312" w:eastAsia="仿宋_GB2312" w:cs="仿宋_GB2312"/>
          <w:b w:val="0"/>
          <w:color w:val="auto"/>
          <w:sz w:val="32"/>
          <w:u w:val="none"/>
        </w:rPr>
        <w:t>2、执法办案及投诉举报项目绩效自评综述：根据年初设定的绩效目标，该项目绩效自评得分为95分。项目全年预算数为1.06万元，执行数为1.06万元，完成预算的100%。主要产出和效果：对我县食品安全进行检查、重点场所食品检查、旅游区食品检查，对我县食品生产企业进行检查，现场查扣了来路不明的冷冻食品150公斤并进行了集中销毁，对1批问题冷冻饺子进行了送检，查扣涉嫌侵权“牛栏山”酒30件，涉嫌侵权“红牛”饮料280件，检查集贸市场16个，下达责令整改通知书67份，没收“三无”过期食品75公斤，没收价值4000元过期变质食用油，没收60余家打馕店违法添加工业盐200余袋，处理疫苗投诉案件1起，兽药投诉案件1起，确保我县人民群众身心健康。发现的问题及原因：可安排使用资金有限，已有资金无法满足执法办案及投诉举报项目支出要求。下一步改进措施：在现有资金的情况下，压缩公用开支，全力做好执法办案及投诉举报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15（款）01（项）指：行政运行。210（类）10（款）01（项）指：行政运行。201（类）17（款）01（项）指：行政运行。210（类）04（款）99（项）指：其他公共卫生支出。221（类）02（款）01（项）指：住房公积金。201（类）17（款）50（项）指：事业运行。210（类）04（款）09（项）指：重大公共卫生专项。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9D059C"/>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71183E"/>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9AF47FF"/>
    <w:rsid w:val="2A020F75"/>
    <w:rsid w:val="2B007AEE"/>
    <w:rsid w:val="2BC14C56"/>
    <w:rsid w:val="2C1B026F"/>
    <w:rsid w:val="2CC61F55"/>
    <w:rsid w:val="2EF7452F"/>
    <w:rsid w:val="2F1D13B4"/>
    <w:rsid w:val="2FAA3DA6"/>
    <w:rsid w:val="2FC1378C"/>
    <w:rsid w:val="30682E1F"/>
    <w:rsid w:val="309D4C7B"/>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3F95BD9"/>
    <w:rsid w:val="449E7DB0"/>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2D6D3E"/>
    <w:rsid w:val="556318EA"/>
    <w:rsid w:val="55A60AA1"/>
    <w:rsid w:val="56451615"/>
    <w:rsid w:val="57FC5774"/>
    <w:rsid w:val="59B332C9"/>
    <w:rsid w:val="5A44758A"/>
    <w:rsid w:val="5BEC4BB3"/>
    <w:rsid w:val="5C070B55"/>
    <w:rsid w:val="5CB96DCE"/>
    <w:rsid w:val="5CE61580"/>
    <w:rsid w:val="5D175666"/>
    <w:rsid w:val="5D556A3C"/>
    <w:rsid w:val="5D7B25C9"/>
    <w:rsid w:val="5E514A9B"/>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23224"/>
    <w:rsid w:val="6EA80098"/>
    <w:rsid w:val="6F8D70FF"/>
    <w:rsid w:val="6FFE5011"/>
    <w:rsid w:val="7178734D"/>
    <w:rsid w:val="71791096"/>
    <w:rsid w:val="717B0C34"/>
    <w:rsid w:val="71D17E83"/>
    <w:rsid w:val="71FB78FD"/>
    <w:rsid w:val="7275064A"/>
    <w:rsid w:val="72ED750E"/>
    <w:rsid w:val="733F750B"/>
    <w:rsid w:val="735702E2"/>
    <w:rsid w:val="765F635A"/>
    <w:rsid w:val="76B73454"/>
    <w:rsid w:val="76D254BD"/>
    <w:rsid w:val="77727ACD"/>
    <w:rsid w:val="78071142"/>
    <w:rsid w:val="79296B37"/>
    <w:rsid w:val="7A4C4C40"/>
    <w:rsid w:val="7AA0518E"/>
    <w:rsid w:val="7B041636"/>
    <w:rsid w:val="7CA86749"/>
    <w:rsid w:val="7EC92370"/>
    <w:rsid w:val="7F2238BD"/>
    <w:rsid w:val="7F265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295</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2020-04-03T12:56:50Z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