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关于公布</w:t>
      </w:r>
      <w:r>
        <w:rPr>
          <w:rFonts w:hint="eastAsia" w:ascii="方正小标宋_GBK" w:hAnsi="方正小标宋_GBK" w:eastAsia="方正小标宋_GBK" w:cs="方正小标宋_GBK"/>
          <w:sz w:val="44"/>
          <w:szCs w:val="44"/>
          <w:lang w:val="en-US" w:eastAsia="zh-CN"/>
        </w:rPr>
        <w:t>泽普县</w:t>
      </w:r>
      <w:r>
        <w:rPr>
          <w:rFonts w:hint="eastAsia" w:ascii="方正小标宋_GBK" w:hAnsi="方正小标宋_GBK" w:eastAsia="方正小标宋_GBK" w:cs="方正小标宋_GBK"/>
          <w:sz w:val="44"/>
          <w:szCs w:val="44"/>
        </w:rPr>
        <w:t>市场监督管理局行政处罚决定书</w:t>
      </w:r>
      <w:r>
        <w:rPr>
          <w:rFonts w:hint="eastAsia" w:ascii="方正小标宋_GBK" w:hAnsi="方正小标宋_GBK" w:eastAsia="方正小标宋_GBK" w:cs="方正小标宋_GBK"/>
          <w:sz w:val="44"/>
          <w:szCs w:val="44"/>
          <w:lang w:val="en-US" w:eastAsia="zh-CN"/>
        </w:rPr>
        <w:t>泽</w:t>
      </w:r>
      <w:r>
        <w:rPr>
          <w:rFonts w:hint="eastAsia" w:ascii="方正小标宋_GBK" w:hAnsi="方正小标宋_GBK" w:eastAsia="方正小标宋_GBK" w:cs="方正小标宋_GBK"/>
          <w:sz w:val="44"/>
          <w:szCs w:val="44"/>
        </w:rPr>
        <w:t>市监处罚〔</w:t>
      </w:r>
      <w:r>
        <w:rPr>
          <w:rFonts w:hint="eastAsia" w:ascii="方正小标宋_GBK" w:hAnsi="方正小标宋_GBK" w:eastAsia="方正小标宋_GBK" w:cs="方正小标宋_GBK"/>
          <w:sz w:val="44"/>
          <w:szCs w:val="44"/>
          <w:lang w:val="en-US" w:eastAsia="zh-CN"/>
        </w:rPr>
        <w:t>2024</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54</w:t>
      </w:r>
      <w:r>
        <w:rPr>
          <w:rFonts w:hint="eastAsia" w:ascii="方正小标宋_GBK" w:hAnsi="方正小标宋_GBK" w:eastAsia="方正小标宋_GBK" w:cs="方正小标宋_GBK"/>
          <w:sz w:val="44"/>
          <w:szCs w:val="44"/>
        </w:rPr>
        <w:t>号的公告</w:t>
      </w:r>
    </w:p>
    <w:p>
      <w:pPr>
        <w:jc w:val="center"/>
        <w:rPr>
          <w:rFonts w:ascii="方正仿宋_GBK" w:hAnsi="方正仿宋_GBK" w:eastAsia="方正仿宋_GBK" w:cs="方正仿宋_GBK"/>
          <w:sz w:val="32"/>
          <w:szCs w:val="32"/>
        </w:rPr>
      </w:pPr>
    </w:p>
    <w:p>
      <w:pPr>
        <w:keepNext w:val="0"/>
        <w:keepLines w:val="0"/>
        <w:pageBreakBefore w:val="0"/>
        <w:tabs>
          <w:tab w:val="left" w:pos="3518"/>
        </w:tabs>
        <w:overflowPunct/>
        <w:topLinePunct w:val="0"/>
        <w:bidi w:val="0"/>
        <w:spacing w:line="168" w:lineRule="auto"/>
        <w:ind w:firstLine="1746"/>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u w:val="single"/>
          <w:lang w:val="en-US" w:eastAsia="zh-CN"/>
        </w:rPr>
        <w:t>泽普县</w:t>
      </w:r>
      <w:r>
        <w:rPr>
          <w:rFonts w:ascii="Microsoft JhengHei" w:hAnsi="Microsoft JhengHei" w:eastAsia="Microsoft JhengHei" w:cs="Microsoft JhengHei"/>
          <w:spacing w:val="-2"/>
          <w:sz w:val="44"/>
          <w:szCs w:val="44"/>
        </w:rPr>
        <w:t>市场监督管理局</w:t>
      </w:r>
    </w:p>
    <w:p>
      <w:pPr>
        <w:keepNext w:val="0"/>
        <w:keepLines w:val="0"/>
        <w:pageBreakBefore w:val="0"/>
        <w:overflowPunct/>
        <w:topLinePunct w:val="0"/>
        <w:bidi w:val="0"/>
        <w:spacing w:line="204" w:lineRule="auto"/>
        <w:ind w:firstLine="2637"/>
        <w:rPr>
          <w:rFonts w:hint="eastAsia" w:ascii="黑体" w:hAnsi="黑体" w:eastAsia="黑体" w:cs="黑体"/>
          <w:sz w:val="44"/>
          <w:szCs w:val="44"/>
        </w:rPr>
      </w:pPr>
      <w:r>
        <w:rPr>
          <w:rFonts w:hint="eastAsia" w:ascii="黑体" w:hAnsi="黑体" w:eastAsia="黑体" w:cs="黑体"/>
          <w:spacing w:val="-2"/>
          <w:sz w:val="44"/>
          <w:szCs w:val="44"/>
        </w:rPr>
        <w:t>行政处罚决定书</w:t>
      </w:r>
    </w:p>
    <w:p>
      <w:pPr>
        <w:keepNext w:val="0"/>
        <w:keepLines w:val="0"/>
        <w:pageBreakBefore w:val="0"/>
        <w:tabs>
          <w:tab w:val="left" w:pos="2725"/>
        </w:tabs>
        <w:overflowPunct/>
        <w:topLinePunct w:val="0"/>
        <w:bidi w:val="0"/>
        <w:spacing w:line="183" w:lineRule="auto"/>
        <w:ind w:firstLine="2219"/>
        <w:rPr>
          <w:rFonts w:ascii="Microsoft JhengHei"/>
          <w:sz w:val="21"/>
          <w:u w:val="single"/>
        </w:rPr>
      </w:pPr>
      <w:r>
        <w:rPr>
          <w:rFonts w:hint="eastAsia" w:ascii="仿宋" w:hAnsi="仿宋" w:eastAsia="仿宋" w:cs="仿宋"/>
          <w:spacing w:val="-7"/>
          <w:sz w:val="32"/>
          <w:szCs w:val="32"/>
          <w:u w:val="single"/>
          <w:lang w:val="en-US" w:eastAsia="zh-CN"/>
        </w:rPr>
        <w:t>泽</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2024</w:t>
      </w:r>
      <w:r>
        <w:rPr>
          <w:rFonts w:ascii="仿宋" w:hAnsi="仿宋" w:eastAsia="仿宋" w:cs="仿宋"/>
          <w:spacing w:val="-7"/>
          <w:sz w:val="32"/>
          <w:szCs w:val="32"/>
        </w:rPr>
        <w:t>〕</w:t>
      </w:r>
      <w:r>
        <w:rPr>
          <w:rFonts w:hint="eastAsia" w:ascii="仿宋" w:hAnsi="仿宋" w:eastAsia="仿宋" w:cs="仿宋"/>
          <w:color w:val="auto"/>
          <w:spacing w:val="68"/>
          <w:sz w:val="32"/>
          <w:szCs w:val="32"/>
          <w:u w:val="single" w:color="auto"/>
          <w:lang w:val="en-US" w:eastAsia="zh-CN"/>
        </w:rPr>
        <w:t>54</w:t>
      </w:r>
      <w:r>
        <w:rPr>
          <w:rFonts w:ascii="仿宋" w:hAnsi="仿宋" w:eastAsia="仿宋" w:cs="仿宋"/>
          <w:spacing w:val="-7"/>
          <w:sz w:val="32"/>
          <w:szCs w:val="32"/>
        </w:rPr>
        <w:t>号</w:t>
      </w:r>
    </w:p>
    <w:p>
      <w:pPr>
        <w:keepNext w:val="0"/>
        <w:keepLines w:val="0"/>
        <w:widowControl/>
        <w:suppressLineNumbers w:val="0"/>
        <w:jc w:val="left"/>
        <w:rPr>
          <w:rFonts w:hint="default" w:ascii="仿宋" w:hAnsi="仿宋" w:eastAsia="仿宋" w:cs="仿宋"/>
          <w:spacing w:val="1"/>
          <w:sz w:val="32"/>
          <w:szCs w:val="32"/>
          <w:u w:val="none" w:color="auto"/>
          <w:lang w:val="en-US" w:eastAsia="zh-CN"/>
        </w:rPr>
      </w:pPr>
      <w:r>
        <w:rPr>
          <w:rFonts w:hint="eastAsia" w:ascii="仿宋" w:hAnsi="仿宋" w:eastAsia="仿宋" w:cs="仿宋"/>
          <w:spacing w:val="-28"/>
          <w:sz w:val="32"/>
          <w:szCs w:val="32"/>
          <w:lang w:eastAsia="zh-CN"/>
        </w:rPr>
        <w:t>当事人</w:t>
      </w:r>
      <w:r>
        <w:rPr>
          <w:rFonts w:ascii="仿宋" w:hAnsi="仿宋" w:eastAsia="仿宋" w:cs="仿宋"/>
          <w:spacing w:val="-28"/>
          <w:w w:val="89"/>
          <w:sz w:val="32"/>
          <w:szCs w:val="32"/>
        </w:rPr>
        <w:t>：</w:t>
      </w:r>
      <w:r>
        <w:rPr>
          <w:rFonts w:ascii="仿宋" w:hAnsi="仿宋" w:eastAsia="仿宋" w:cs="仿宋"/>
          <w:sz w:val="32"/>
          <w:szCs w:val="32"/>
          <w:u w:val="single" w:color="auto"/>
        </w:rPr>
        <w:t xml:space="preserve">  </w:t>
      </w:r>
      <w:r>
        <w:rPr>
          <w:rFonts w:hint="default" w:ascii="仿宋" w:hAnsi="仿宋" w:eastAsia="仿宋" w:cs="仿宋"/>
          <w:sz w:val="32"/>
          <w:szCs w:val="32"/>
          <w:u w:val="single" w:color="auto"/>
          <w:lang w:val="en-US" w:eastAsia="zh-CN"/>
        </w:rPr>
        <w:t>泽普县好弟兄干果店</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default" w:ascii="仿宋" w:hAnsi="仿宋" w:eastAsia="仿宋" w:cs="仿宋"/>
          <w:spacing w:val="1"/>
          <w:sz w:val="32"/>
          <w:szCs w:val="32"/>
          <w:u w:val="single" w:color="auto"/>
          <w:lang w:val="en-US" w:eastAsia="zh-CN"/>
        </w:rPr>
        <w:t>92653124MA79HKND</w:t>
      </w:r>
      <w:r>
        <w:rPr>
          <w:rFonts w:hint="default" w:ascii="Arial" w:hAnsi="Arial" w:eastAsia="仿宋" w:cs="Arial"/>
          <w:spacing w:val="1"/>
          <w:sz w:val="32"/>
          <w:szCs w:val="32"/>
          <w:u w:val="single" w:color="auto"/>
          <w:lang w:val="en-US" w:eastAsia="zh-CN"/>
        </w:rPr>
        <w:t>＊＊＊</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4"/>
          <w:sz w:val="32"/>
          <w:szCs w:val="32"/>
        </w:rPr>
        <w:t>住所</w:t>
      </w:r>
      <w:r>
        <w:rPr>
          <w:rFonts w:ascii="仿宋" w:hAnsi="仿宋" w:eastAsia="仿宋" w:cs="仿宋"/>
          <w:spacing w:val="4"/>
          <w:sz w:val="32"/>
          <w:szCs w:val="32"/>
          <w:u w:val="none" w:color="auto"/>
        </w:rPr>
        <w:t>（</w:t>
      </w:r>
      <w:r>
        <w:rPr>
          <w:rFonts w:hint="eastAsia" w:ascii="仿宋" w:hAnsi="仿宋" w:eastAsia="仿宋" w:cs="仿宋"/>
          <w:spacing w:val="1"/>
          <w:sz w:val="32"/>
          <w:szCs w:val="32"/>
          <w:u w:val="none" w:color="auto"/>
          <w:lang w:val="en-US" w:eastAsia="zh-CN"/>
        </w:rPr>
        <w:t>住址）：</w:t>
      </w:r>
      <w:r>
        <w:rPr>
          <w:rFonts w:hint="eastAsia" w:ascii="仿宋" w:hAnsi="仿宋" w:eastAsia="仿宋" w:cs="仿宋"/>
          <w:spacing w:val="1"/>
          <w:sz w:val="32"/>
          <w:szCs w:val="32"/>
          <w:u w:val="single" w:color="auto"/>
          <w:lang w:val="en-US" w:eastAsia="zh-CN"/>
        </w:rPr>
        <w:t xml:space="preserve"> 新疆喀什地区泽普县山陆林商业广场一期18号商铺                           </w:t>
      </w:r>
      <w:r>
        <w:rPr>
          <w:rFonts w:hint="eastAsia" w:ascii="仿宋" w:hAnsi="仿宋" w:eastAsia="仿宋" w:cs="仿宋"/>
          <w:spacing w:val="1"/>
          <w:sz w:val="32"/>
          <w:szCs w:val="32"/>
          <w:u w:val="none" w:color="auto"/>
          <w:lang w:val="en-US" w:eastAsia="zh-CN"/>
        </w:rPr>
        <w:t xml:space="preserve">                           </w:t>
      </w:r>
    </w:p>
    <w:p>
      <w:pPr>
        <w:keepNext w:val="0"/>
        <w:keepLines w:val="0"/>
        <w:pageBreakBefore w:val="0"/>
        <w:overflowPunct/>
        <w:topLinePunct w:val="0"/>
        <w:bidi w:val="0"/>
        <w:spacing w:line="500" w:lineRule="exact"/>
        <w:ind w:left="35" w:right="16" w:firstLine="33"/>
        <w:rPr>
          <w:rFonts w:ascii="仿宋" w:hAnsi="仿宋" w:eastAsia="仿宋" w:cs="仿宋"/>
          <w:spacing w:val="21"/>
          <w:sz w:val="32"/>
          <w:szCs w:val="32"/>
        </w:rPr>
      </w:pPr>
      <w:r>
        <w:rPr>
          <w:rFonts w:ascii="仿宋" w:hAnsi="仿宋" w:eastAsia="仿宋" w:cs="仿宋"/>
          <w:sz w:val="32"/>
          <w:szCs w:val="32"/>
        </w:rPr>
        <w:t>法定代表人（负责人、</w:t>
      </w:r>
      <w:r>
        <w:rPr>
          <w:rFonts w:ascii="仿宋" w:hAnsi="仿宋" w:eastAsia="仿宋" w:cs="仿宋"/>
          <w:sz w:val="32"/>
          <w:szCs w:val="32"/>
          <w:u w:val="none" w:color="auto"/>
        </w:rPr>
        <w:t>经</w:t>
      </w:r>
      <w:r>
        <w:rPr>
          <w:rFonts w:hint="eastAsia" w:ascii="仿宋" w:hAnsi="仿宋" w:eastAsia="仿宋" w:cs="仿宋"/>
          <w:spacing w:val="1"/>
          <w:sz w:val="32"/>
          <w:szCs w:val="32"/>
          <w:u w:val="none" w:color="auto"/>
          <w:lang w:val="en-US" w:eastAsia="zh-CN"/>
        </w:rPr>
        <w:t>营者）：</w:t>
      </w:r>
      <w:r>
        <w:rPr>
          <w:rFonts w:hint="default" w:ascii="仿宋" w:hAnsi="仿宋" w:eastAsia="仿宋" w:cs="仿宋"/>
          <w:sz w:val="32"/>
          <w:szCs w:val="32"/>
          <w:u w:val="single" w:color="auto"/>
          <w:lang w:val="en-US" w:eastAsia="zh-CN"/>
        </w:rPr>
        <w:t>如</w:t>
      </w:r>
      <w:r>
        <w:rPr>
          <w:rFonts w:hint="default" w:ascii="Arial" w:hAnsi="Arial" w:eastAsia="仿宋" w:cs="Arial"/>
          <w:spacing w:val="1"/>
          <w:sz w:val="32"/>
          <w:szCs w:val="32"/>
          <w:u w:val="single" w:color="auto"/>
          <w:lang w:val="en-US" w:eastAsia="zh-CN"/>
        </w:rPr>
        <w:t>＊＊</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p>
    <w:p>
      <w:pPr>
        <w:keepNext w:val="0"/>
        <w:keepLines w:val="0"/>
        <w:pageBreakBefore w:val="0"/>
        <w:overflowPunct/>
        <w:topLinePunct w:val="0"/>
        <w:bidi w:val="0"/>
        <w:spacing w:line="500" w:lineRule="exact"/>
        <w:ind w:left="35" w:right="16" w:firstLine="33"/>
        <w:rPr>
          <w:rFonts w:ascii="Microsoft JhengHei"/>
          <w:sz w:val="32"/>
          <w:szCs w:val="32"/>
        </w:rPr>
      </w:pPr>
      <w:r>
        <w:rPr>
          <w:rFonts w:ascii="仿宋" w:hAnsi="仿宋" w:eastAsia="仿宋" w:cs="仿宋"/>
          <w:spacing w:val="-31"/>
          <w:w w:val="98"/>
          <w:sz w:val="32"/>
          <w:szCs w:val="32"/>
        </w:rPr>
        <w:t>身份</w:t>
      </w:r>
      <w:r>
        <w:rPr>
          <w:rFonts w:ascii="仿宋" w:hAnsi="仿宋" w:eastAsia="仿宋" w:cs="仿宋"/>
          <w:spacing w:val="-31"/>
          <w:w w:val="98"/>
          <w:sz w:val="32"/>
          <w:szCs w:val="32"/>
          <w:u w:val="none" w:color="auto"/>
        </w:rPr>
        <w:t>证</w:t>
      </w:r>
      <w:r>
        <w:rPr>
          <w:rFonts w:hint="eastAsia" w:ascii="仿宋" w:hAnsi="仿宋" w:eastAsia="仿宋" w:cs="仿宋"/>
          <w:spacing w:val="1"/>
          <w:sz w:val="32"/>
          <w:szCs w:val="32"/>
          <w:u w:val="none" w:color="auto"/>
          <w:lang w:val="en-US" w:eastAsia="zh-CN"/>
        </w:rPr>
        <w:t>件号码：</w:t>
      </w:r>
      <w:bookmarkStart w:id="0" w:name="_GoBack"/>
      <w:bookmarkEnd w:id="0"/>
      <w:r>
        <w:rPr>
          <w:rFonts w:hint="eastAsia" w:ascii="仿宋" w:hAnsi="仿宋" w:eastAsia="仿宋" w:cs="仿宋"/>
          <w:spacing w:val="1"/>
          <w:sz w:val="32"/>
          <w:szCs w:val="32"/>
          <w:u w:val="single" w:color="auto"/>
          <w:lang w:val="en-US" w:eastAsia="zh-CN"/>
        </w:rPr>
        <w:t>653125</w:t>
      </w:r>
      <w:r>
        <w:rPr>
          <w:rFonts w:hint="default" w:ascii="Arial" w:hAnsi="Arial" w:eastAsia="仿宋" w:cs="Arial"/>
          <w:spacing w:val="1"/>
          <w:sz w:val="32"/>
          <w:szCs w:val="32"/>
          <w:u w:val="single" w:color="auto"/>
          <w:lang w:val="en-US" w:eastAsia="zh-CN"/>
        </w:rPr>
        <w:t>＊＊＊</w:t>
      </w:r>
      <w:r>
        <w:rPr>
          <w:rFonts w:ascii="仿宋" w:hAnsi="仿宋" w:eastAsia="仿宋" w:cs="仿宋"/>
          <w:sz w:val="32"/>
          <w:szCs w:val="32"/>
          <w:u w:val="single" w:color="auto"/>
        </w:rPr>
        <w:t xml:space="preserve">                                    </w:t>
      </w:r>
    </w:p>
    <w:p>
      <w:pPr>
        <w:keepNext w:val="0"/>
        <w:keepLines w:val="0"/>
        <w:pageBreakBefore w:val="0"/>
        <w:widowControl w:val="0"/>
        <w:kinsoku/>
        <w:wordWrap w:val="0"/>
        <w:overflowPunct/>
        <w:topLinePunct/>
        <w:autoSpaceDE/>
        <w:autoSpaceDN/>
        <w:bidi w:val="0"/>
        <w:adjustRightInd/>
        <w:snapToGrid/>
        <w:spacing w:line="50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2024年年9月15日，喀什地区市场监督管理局委托新疆维吾尔自治区分析测试研究院对泽普县好弟兄干果店销售的（杏干）进行抽样检测。2024年10月23日我局收到新疆维吾尔自治区分析测试研究院出具的编号为NO：DBJ24653100830246890ZX的检验报告，检验结果显示二氧化硫残留量项目不符合GB2760-2014《食品安全国家标准、食品添加剂使用标准》要求，检验结论为不合格。检验结果中二氧化硫残留量项目，g/kg，标准指标≦0.1，样品中实测值为：4.16。2024年10月23日向当事人送达国家食品安全抽样检验不合格结果通知书和新疆维吾尔自治区分析测试研究院出具的食品安全监督抽检检验报告（编号为：NO：DBJ24653100830246890ZX），同时一并告知了当事人享有的权利及复检的时限，当事人如山古力·麦吐尔迪签收了检验报告书及通知书，对抽检结果无异议。执法人员于2024年10月23日进行了案源登记，2024年11月5日经局领导批准开展立案调查。</w:t>
      </w:r>
    </w:p>
    <w:p>
      <w:pPr>
        <w:keepNext w:val="0"/>
        <w:keepLines w:val="0"/>
        <w:pageBreakBefore w:val="0"/>
        <w:widowControl w:val="0"/>
        <w:kinsoku/>
        <w:wordWrap w:val="0"/>
        <w:overflowPunct/>
        <w:topLinePunct/>
        <w:autoSpaceDE/>
        <w:autoSpaceDN/>
        <w:bidi w:val="0"/>
        <w:adjustRightInd/>
        <w:snapToGrid/>
        <w:spacing w:line="50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2024年10月23日经现场检查发现，没有进货查验记录，没有相关的合格证明，没有销售记录。当场发现没有销售完的杏干43.95Kg。</w:t>
      </w:r>
    </w:p>
    <w:p>
      <w:pPr>
        <w:keepNext w:val="0"/>
        <w:keepLines w:val="0"/>
        <w:pageBreakBefore w:val="0"/>
        <w:overflowPunct/>
        <w:bidi w:val="0"/>
        <w:spacing w:line="500" w:lineRule="exact"/>
        <w:ind w:firstLine="644" w:firstLineChars="200"/>
        <w:rPr>
          <w:rFonts w:hint="eastAsia" w:ascii="仿宋" w:hAnsi="仿宋" w:eastAsia="仿宋" w:cs="仿宋"/>
          <w:color w:val="auto"/>
          <w:sz w:val="32"/>
          <w:szCs w:val="32"/>
          <w:u w:val="single"/>
          <w:lang w:val="en-US" w:eastAsia="zh-CN"/>
        </w:rPr>
      </w:pPr>
      <w:r>
        <w:rPr>
          <w:rFonts w:hint="eastAsia" w:ascii="仿宋" w:hAnsi="仿宋" w:eastAsia="仿宋" w:cs="仿宋"/>
          <w:spacing w:val="1"/>
          <w:sz w:val="32"/>
          <w:szCs w:val="32"/>
          <w:u w:val="none"/>
          <w:lang w:val="en-US" w:eastAsia="zh-CN"/>
        </w:rPr>
        <w:t>经查，</w:t>
      </w:r>
      <w:r>
        <w:rPr>
          <w:rFonts w:hint="eastAsia" w:ascii="仿宋" w:hAnsi="仿宋" w:eastAsia="仿宋" w:cs="仿宋"/>
          <w:sz w:val="32"/>
          <w:szCs w:val="32"/>
          <w:u w:val="single"/>
          <w:lang w:val="en-US" w:eastAsia="zh-CN"/>
        </w:rPr>
        <w:t>新疆维吾尔自治区分析测试研究院出具的编号为：NO：DBJ24653100830246890ZX的检验报告，检验项目为铅（以Pb计）、山梨酸及其钾盐（以山梨酸计）、糖精钠（以糖精计）、二氧化硫残留量、亮蓝、柠檬黄、日落黄、苋菜红、胭脂红等9项。检验结果显示二氧化硫残留量项目不符合GB2760-2014《食品安全国家标准、食品添加剂使用标准》要求，样品中二氧化硫残留量实测值超过标准指标，检验结论为不合格，当事人收到检验报告之日起七个工作日内未提出复检，办案人员认定当事人的行为涉嫌经营农药残留含量超过食</w:t>
      </w:r>
      <w:r>
        <w:rPr>
          <w:rFonts w:hint="eastAsia" w:ascii="仿宋" w:hAnsi="仿宋" w:eastAsia="仿宋" w:cs="仿宋"/>
          <w:color w:val="auto"/>
          <w:sz w:val="32"/>
          <w:szCs w:val="32"/>
          <w:u w:val="single"/>
          <w:lang w:val="en-US" w:eastAsia="zh-CN"/>
        </w:rPr>
        <w:t>品安全标准限量的食品（杏干）。</w:t>
      </w:r>
    </w:p>
    <w:p>
      <w:pPr>
        <w:keepNext w:val="0"/>
        <w:keepLines w:val="0"/>
        <w:pageBreakBefore w:val="0"/>
        <w:overflowPunct/>
        <w:bidi w:val="0"/>
        <w:spacing w:line="500" w:lineRule="exact"/>
        <w:ind w:firstLine="640" w:firstLineChars="200"/>
        <w:rPr>
          <w:rFonts w:hint="eastAsia" w:ascii="仿宋" w:hAnsi="仿宋" w:eastAsia="仿宋" w:cs="仿宋"/>
          <w:color w:val="FF0000"/>
          <w:sz w:val="32"/>
          <w:szCs w:val="32"/>
          <w:u w:val="single"/>
          <w:lang w:val="en-US" w:eastAsia="zh-CN"/>
        </w:rPr>
      </w:pPr>
      <w:r>
        <w:rPr>
          <w:rFonts w:hint="eastAsia" w:ascii="仿宋" w:hAnsi="仿宋" w:eastAsia="仿宋" w:cs="仿宋"/>
          <w:color w:val="auto"/>
          <w:sz w:val="32"/>
          <w:szCs w:val="32"/>
          <w:u w:val="single"/>
          <w:lang w:val="en-US" w:eastAsia="zh-CN"/>
        </w:rPr>
        <w:t>当事人陈述杏干是2024年7月20日从喀什市库克兰市场购进的，总购进了50Kg，购进价22元/Kg，销售价30元/Kg，现场检查是还剩余43.95Kg的杏干，其余已销售完。因当事人无进货查验记录，办案人员采纳了当事人询问过程中</w:t>
      </w:r>
      <w:r>
        <w:rPr>
          <w:rFonts w:hint="eastAsia" w:ascii="仿宋" w:hAnsi="仿宋" w:eastAsia="仿宋" w:cs="仿宋"/>
          <w:bCs/>
          <w:color w:val="auto"/>
          <w:sz w:val="32"/>
          <w:szCs w:val="32"/>
          <w:u w:val="single"/>
          <w:lang w:val="en-US" w:eastAsia="zh-CN"/>
        </w:rPr>
        <w:t>杏干的购进</w:t>
      </w:r>
      <w:r>
        <w:rPr>
          <w:rFonts w:hint="eastAsia" w:ascii="仿宋" w:hAnsi="仿宋" w:eastAsia="仿宋" w:cs="仿宋"/>
          <w:color w:val="auto"/>
          <w:sz w:val="32"/>
          <w:szCs w:val="32"/>
          <w:u w:val="single"/>
          <w:lang w:val="en-US" w:eastAsia="zh-CN"/>
        </w:rPr>
        <w:t>的依据，办案人员认定上述涉案</w:t>
      </w:r>
      <w:r>
        <w:rPr>
          <w:rFonts w:hint="eastAsia" w:ascii="仿宋" w:hAnsi="仿宋" w:eastAsia="仿宋" w:cs="仿宋"/>
          <w:bCs/>
          <w:color w:val="auto"/>
          <w:sz w:val="32"/>
          <w:szCs w:val="32"/>
          <w:u w:val="single"/>
          <w:lang w:val="en-US" w:eastAsia="zh-CN"/>
        </w:rPr>
        <w:t>杏干</w:t>
      </w:r>
      <w:r>
        <w:rPr>
          <w:rFonts w:hint="eastAsia" w:ascii="仿宋" w:hAnsi="仿宋" w:eastAsia="仿宋" w:cs="仿宋"/>
          <w:color w:val="auto"/>
          <w:sz w:val="32"/>
          <w:szCs w:val="32"/>
          <w:u w:val="single"/>
          <w:lang w:val="en-US" w:eastAsia="zh-CN"/>
        </w:rPr>
        <w:t>货值金额为30.0元/Kg*50Kg=1500元，违法所得为30.0元/Kg*6.05Kg=181.5</w:t>
      </w:r>
      <w:r>
        <w:rPr>
          <w:rFonts w:hint="eastAsia" w:ascii="仿宋" w:hAnsi="仿宋" w:eastAsia="仿宋" w:cs="仿宋"/>
          <w:sz w:val="32"/>
          <w:szCs w:val="32"/>
          <w:u w:val="single"/>
          <w:lang w:val="en-US" w:eastAsia="zh-CN"/>
        </w:rPr>
        <w:t>元。</w:t>
      </w:r>
    </w:p>
    <w:p>
      <w:pPr>
        <w:spacing w:line="520" w:lineRule="exact"/>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single"/>
          <w:lang w:val="en-US" w:eastAsia="zh-CN"/>
        </w:rPr>
        <w:t>因在现场检查时，未发现涉案</w:t>
      </w:r>
      <w:r>
        <w:rPr>
          <w:rFonts w:hint="eastAsia" w:ascii="仿宋" w:hAnsi="仿宋" w:eastAsia="仿宋" w:cs="仿宋"/>
          <w:bCs/>
          <w:sz w:val="32"/>
          <w:szCs w:val="32"/>
          <w:u w:val="single"/>
          <w:lang w:val="en-US" w:eastAsia="zh-CN"/>
        </w:rPr>
        <w:t>杏干</w:t>
      </w:r>
      <w:r>
        <w:rPr>
          <w:rFonts w:hint="eastAsia" w:ascii="仿宋" w:hAnsi="仿宋" w:eastAsia="仿宋" w:cs="仿宋"/>
          <w:color w:val="auto"/>
          <w:sz w:val="32"/>
          <w:szCs w:val="32"/>
          <w:u w:val="single"/>
          <w:lang w:val="en-US" w:eastAsia="zh-CN"/>
        </w:rPr>
        <w:t>的检验合格证明材料，办案人员认定当事人无充分证据证明其不知道所采购的食品不符合食品安全标准。</w:t>
      </w:r>
    </w:p>
    <w:p>
      <w:pPr>
        <w:spacing w:line="52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color w:val="auto"/>
          <w:sz w:val="32"/>
          <w:szCs w:val="32"/>
          <w:u w:val="single"/>
          <w:lang w:val="en-US" w:eastAsia="zh-CN"/>
        </w:rPr>
        <w:t>因在现场检查时，</w:t>
      </w:r>
      <w:r>
        <w:rPr>
          <w:rFonts w:hint="eastAsia" w:ascii="仿宋" w:hAnsi="仿宋" w:eastAsia="仿宋" w:cs="仿宋"/>
          <w:color w:val="auto"/>
          <w:sz w:val="32"/>
          <w:szCs w:val="32"/>
          <w:highlight w:val="none"/>
          <w:u w:val="single"/>
          <w:lang w:val="en-US" w:eastAsia="zh-CN"/>
        </w:rPr>
        <w:t>未发现涉案</w:t>
      </w:r>
      <w:r>
        <w:rPr>
          <w:rFonts w:hint="eastAsia" w:ascii="仿宋" w:hAnsi="仿宋" w:eastAsia="仿宋" w:cs="仿宋"/>
          <w:bCs/>
          <w:sz w:val="32"/>
          <w:szCs w:val="32"/>
          <w:u w:val="single"/>
          <w:lang w:val="en-US" w:eastAsia="zh-CN"/>
        </w:rPr>
        <w:t>杏干</w:t>
      </w:r>
      <w:r>
        <w:rPr>
          <w:rFonts w:hint="eastAsia" w:ascii="仿宋" w:hAnsi="仿宋" w:eastAsia="仿宋" w:cs="仿宋"/>
          <w:color w:val="auto"/>
          <w:sz w:val="32"/>
          <w:szCs w:val="32"/>
          <w:highlight w:val="none"/>
          <w:u w:val="single"/>
          <w:lang w:val="en-US" w:eastAsia="zh-CN"/>
        </w:rPr>
        <w:t>的进货查验记录、当事人也没能提供供货商的资质及合格证明，</w:t>
      </w:r>
      <w:r>
        <w:rPr>
          <w:rFonts w:hint="eastAsia" w:ascii="仿宋" w:hAnsi="仿宋" w:eastAsia="仿宋" w:cs="仿宋"/>
          <w:sz w:val="32"/>
          <w:szCs w:val="32"/>
          <w:u w:val="single"/>
          <w:lang w:val="en-US" w:eastAsia="zh-CN"/>
        </w:rPr>
        <w:t>办案人员认定当事人的行为涉嫌销售</w:t>
      </w:r>
      <w:r>
        <w:rPr>
          <w:rFonts w:hint="eastAsia" w:ascii="仿宋" w:hAnsi="仿宋" w:eastAsia="仿宋" w:cs="仿宋"/>
          <w:bCs/>
          <w:sz w:val="32"/>
          <w:szCs w:val="32"/>
          <w:u w:val="single"/>
          <w:lang w:val="en-US" w:eastAsia="zh-CN"/>
        </w:rPr>
        <w:t>经营未履行进货查验制度</w:t>
      </w:r>
      <w:r>
        <w:rPr>
          <w:rFonts w:hint="eastAsia" w:ascii="仿宋" w:hAnsi="仿宋" w:eastAsia="仿宋" w:cs="仿宋"/>
          <w:color w:val="auto"/>
          <w:sz w:val="32"/>
          <w:szCs w:val="32"/>
          <w:highlight w:val="none"/>
          <w:u w:val="single"/>
          <w:lang w:val="en-US" w:eastAsia="zh-CN"/>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仿宋" w:hAnsi="仿宋" w:eastAsia="仿宋" w:cs="仿宋"/>
          <w:spacing w:val="1"/>
          <w:sz w:val="32"/>
          <w:szCs w:val="32"/>
          <w:u w:val="single"/>
          <w:lang w:val="en-US" w:eastAsia="zh-CN"/>
        </w:rPr>
      </w:pPr>
      <w:r>
        <w:rPr>
          <w:rFonts w:hint="eastAsia" w:ascii="仿宋" w:hAnsi="仿宋" w:eastAsia="仿宋" w:cs="仿宋"/>
          <w:spacing w:val="1"/>
          <w:sz w:val="32"/>
          <w:szCs w:val="32"/>
          <w:u w:val="none"/>
          <w:lang w:val="en-US" w:eastAsia="zh-CN"/>
        </w:rPr>
        <w:t>上述事实，主要有以下证据证明：</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u w:val="single"/>
        </w:rPr>
        <w:t>1.</w:t>
      </w:r>
      <w:r>
        <w:rPr>
          <w:rFonts w:hint="eastAsia" w:ascii="仿宋" w:hAnsi="仿宋" w:eastAsia="仿宋" w:cs="仿宋"/>
          <w:sz w:val="32"/>
          <w:szCs w:val="32"/>
          <w:u w:val="single"/>
          <w:lang w:eastAsia="zh-CN"/>
        </w:rPr>
        <w:t>《营业执照》复印件</w:t>
      </w:r>
      <w:r>
        <w:rPr>
          <w:rFonts w:hint="eastAsia" w:ascii="仿宋" w:hAnsi="仿宋" w:eastAsia="仿宋" w:cs="仿宋"/>
          <w:sz w:val="32"/>
          <w:szCs w:val="32"/>
          <w:u w:val="single"/>
          <w:lang w:val="en-US" w:eastAsia="zh-CN"/>
        </w:rPr>
        <w:t>1份及经营者如山古力·麦吐尔迪《居民身份证》正反面复印件1份</w:t>
      </w:r>
      <w:r>
        <w:rPr>
          <w:rFonts w:hint="eastAsia" w:ascii="仿宋" w:hAnsi="仿宋" w:eastAsia="仿宋" w:cs="仿宋"/>
          <w:sz w:val="32"/>
          <w:szCs w:val="32"/>
          <w:u w:val="single"/>
          <w:lang w:eastAsia="zh-CN"/>
        </w:rPr>
        <w:t>。</w:t>
      </w:r>
    </w:p>
    <w:p>
      <w:pPr>
        <w:keepNext w:val="0"/>
        <w:keepLines w:val="0"/>
        <w:pageBreakBefore w:val="0"/>
        <w:overflowPunct/>
        <w:bidi w:val="0"/>
        <w:spacing w:line="500" w:lineRule="exact"/>
        <w:ind w:firstLine="640" w:firstLineChars="200"/>
        <w:rPr>
          <w:rFonts w:hint="eastAsia" w:ascii="仿宋" w:hAnsi="仿宋" w:eastAsia="仿宋" w:cs="仿宋"/>
          <w:sz w:val="32"/>
          <w:szCs w:val="32"/>
          <w:highlight w:val="none"/>
          <w:u w:val="single"/>
          <w:lang w:eastAsia="zh-CN"/>
        </w:rPr>
      </w:pPr>
      <w:r>
        <w:rPr>
          <w:rFonts w:hint="eastAsia" w:ascii="仿宋" w:hAnsi="仿宋" w:eastAsia="仿宋" w:cs="仿宋"/>
          <w:sz w:val="32"/>
          <w:szCs w:val="32"/>
          <w:highlight w:val="none"/>
          <w:u w:val="single"/>
        </w:rPr>
        <w:t>2.</w:t>
      </w:r>
      <w:r>
        <w:rPr>
          <w:rFonts w:hint="eastAsia" w:ascii="仿宋" w:hAnsi="仿宋" w:eastAsia="仿宋" w:cs="仿宋"/>
          <w:sz w:val="32"/>
          <w:szCs w:val="32"/>
          <w:highlight w:val="none"/>
          <w:u w:val="single"/>
          <w:lang w:eastAsia="zh-CN"/>
        </w:rPr>
        <w:t>食品安全抽样检验抽样单</w:t>
      </w:r>
      <w:r>
        <w:rPr>
          <w:rFonts w:hint="eastAsia" w:ascii="仿宋" w:hAnsi="仿宋" w:eastAsia="仿宋" w:cs="仿宋"/>
          <w:sz w:val="32"/>
          <w:szCs w:val="32"/>
          <w:highlight w:val="none"/>
          <w:u w:val="single"/>
          <w:lang w:val="en-US" w:eastAsia="zh-CN"/>
        </w:rPr>
        <w:t>1份</w:t>
      </w:r>
      <w:r>
        <w:rPr>
          <w:rFonts w:hint="eastAsia" w:ascii="仿宋" w:hAnsi="仿宋" w:eastAsia="仿宋" w:cs="仿宋"/>
          <w:sz w:val="32"/>
          <w:szCs w:val="32"/>
          <w:highlight w:val="none"/>
          <w:u w:val="single"/>
          <w:lang w:eastAsia="zh-CN"/>
        </w:rPr>
        <w:t>。</w:t>
      </w:r>
    </w:p>
    <w:p>
      <w:pPr>
        <w:keepNext w:val="0"/>
        <w:keepLines w:val="0"/>
        <w:pageBreakBefore w:val="0"/>
        <w:overflowPunct/>
        <w:bidi w:val="0"/>
        <w:spacing w:line="500" w:lineRule="exact"/>
        <w:ind w:firstLine="640" w:firstLineChars="200"/>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u w:val="single"/>
          <w:lang w:val="en-US" w:eastAsia="zh-CN"/>
        </w:rPr>
        <w:t>3.《泽普县市场监督管理局现场笔录》1份。</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4.《检验报告》（编号为NO：DBJ24653100830246890ZX）1份。</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5.《泽普县市场监督管理局不合格食品检验报告送达回执》1份。</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6.《泽普县市场监督管理局询问笔录》1份。</w:t>
      </w:r>
    </w:p>
    <w:p>
      <w:pPr>
        <w:spacing w:line="520" w:lineRule="exact"/>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sz w:val="32"/>
          <w:szCs w:val="32"/>
          <w:u w:val="single"/>
          <w:lang w:val="en-US" w:eastAsia="zh-CN"/>
        </w:rPr>
        <w:t>7</w:t>
      </w:r>
      <w:r>
        <w:rPr>
          <w:rFonts w:hint="eastAsia" w:ascii="方正仿宋_GBK" w:hAnsi="方正仿宋_GBK" w:eastAsia="方正仿宋_GBK" w:cs="方正仿宋_GBK"/>
          <w:spacing w:val="1"/>
          <w:sz w:val="32"/>
          <w:szCs w:val="32"/>
          <w:u w:val="single" w:color="auto"/>
          <w:lang w:val="en-US" w:eastAsia="zh-CN"/>
        </w:rPr>
        <w:t>.责令整改通知书</w:t>
      </w:r>
      <w:r>
        <w:rPr>
          <w:rFonts w:hint="eastAsia" w:ascii="仿宋" w:hAnsi="仿宋" w:eastAsia="仿宋" w:cs="仿宋"/>
          <w:color w:val="auto"/>
          <w:sz w:val="32"/>
          <w:szCs w:val="32"/>
          <w:u w:val="single"/>
          <w:lang w:val="en-US" w:eastAsia="zh-CN"/>
        </w:rPr>
        <w:t>（泽市监食责改[2024]63号）</w:t>
      </w:r>
      <w:r>
        <w:rPr>
          <w:rFonts w:hint="eastAsia" w:ascii="方正仿宋_GBK" w:hAnsi="方正仿宋_GBK" w:eastAsia="方正仿宋_GBK" w:cs="方正仿宋_GBK"/>
          <w:spacing w:val="1"/>
          <w:sz w:val="32"/>
          <w:szCs w:val="32"/>
          <w:u w:val="single" w:color="auto"/>
          <w:lang w:val="en-US" w:eastAsia="zh-CN"/>
        </w:rPr>
        <w:t>1份。</w:t>
      </w:r>
    </w:p>
    <w:p>
      <w:pPr>
        <w:spacing w:line="52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8.现场照片</w:t>
      </w:r>
      <w:r>
        <w:rPr>
          <w:rFonts w:hint="eastAsia" w:ascii="仿宋" w:hAnsi="仿宋" w:eastAsia="仿宋" w:cs="仿宋"/>
          <w:color w:val="auto"/>
          <w:sz w:val="32"/>
          <w:szCs w:val="32"/>
          <w:u w:val="single"/>
          <w:lang w:val="en-US" w:eastAsia="zh-CN"/>
        </w:rPr>
        <w:t>1份。</w:t>
      </w:r>
    </w:p>
    <w:p>
      <w:pPr>
        <w:spacing w:line="520" w:lineRule="exact"/>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sz w:val="32"/>
          <w:szCs w:val="32"/>
          <w:u w:val="single"/>
          <w:lang w:val="en-US" w:eastAsia="zh-CN"/>
        </w:rPr>
        <w:t>9.</w:t>
      </w:r>
      <w:r>
        <w:rPr>
          <w:rFonts w:hint="eastAsia" w:ascii="仿宋" w:hAnsi="仿宋" w:eastAsia="仿宋" w:cs="仿宋"/>
          <w:color w:val="auto"/>
          <w:sz w:val="32"/>
          <w:szCs w:val="32"/>
          <w:u w:val="single"/>
          <w:lang w:val="en-US" w:eastAsia="zh-CN"/>
        </w:rPr>
        <w:t>整改报告1份。</w:t>
      </w:r>
    </w:p>
    <w:p>
      <w:pPr>
        <w:keepNext w:val="0"/>
        <w:keepLines w:val="0"/>
        <w:pageBreakBefore w:val="0"/>
        <w:overflowPunct/>
        <w:topLinePunct w:val="0"/>
        <w:bidi w:val="0"/>
        <w:spacing w:line="500" w:lineRule="exact"/>
        <w:ind w:firstLine="655"/>
        <w:rPr>
          <w:rFonts w:hint="eastAsia" w:ascii="仿宋" w:hAnsi="仿宋" w:eastAsia="仿宋" w:cs="仿宋"/>
          <w:spacing w:val="-3"/>
          <w:sz w:val="32"/>
          <w:szCs w:val="32"/>
          <w:u w:val="single"/>
          <w:lang w:val="en-US" w:eastAsia="zh-CN"/>
        </w:rPr>
      </w:pPr>
      <w:r>
        <w:rPr>
          <w:rFonts w:hint="eastAsia" w:ascii="仿宋" w:hAnsi="仿宋" w:eastAsia="仿宋" w:cs="仿宋"/>
          <w:spacing w:val="-3"/>
          <w:sz w:val="32"/>
          <w:szCs w:val="32"/>
          <w:u w:val="single"/>
          <w:lang w:val="en-US" w:eastAsia="zh-CN"/>
        </w:rPr>
        <w:t>2024年12月</w:t>
      </w:r>
      <w:r>
        <w:rPr>
          <w:rFonts w:hint="eastAsia" w:ascii="仿宋" w:hAnsi="仿宋" w:eastAsia="仿宋" w:cs="仿宋"/>
          <w:color w:val="auto"/>
          <w:spacing w:val="-3"/>
          <w:sz w:val="32"/>
          <w:szCs w:val="32"/>
          <w:u w:val="single"/>
          <w:lang w:val="en-US" w:eastAsia="zh-CN"/>
        </w:rPr>
        <w:t>11</w:t>
      </w:r>
      <w:r>
        <w:rPr>
          <w:rFonts w:hint="eastAsia" w:ascii="仿宋" w:hAnsi="仿宋" w:eastAsia="仿宋" w:cs="仿宋"/>
          <w:spacing w:val="-3"/>
          <w:sz w:val="32"/>
          <w:szCs w:val="32"/>
          <w:u w:val="single"/>
          <w:lang w:val="en-US" w:eastAsia="zh-CN"/>
        </w:rPr>
        <w:t>日，本局依法向</w:t>
      </w:r>
      <w:r>
        <w:rPr>
          <w:rFonts w:hint="eastAsia" w:ascii="仿宋" w:hAnsi="仿宋" w:eastAsia="仿宋" w:cs="仿宋"/>
          <w:spacing w:val="-3"/>
          <w:sz w:val="32"/>
          <w:szCs w:val="32"/>
          <w:u w:val="single"/>
          <w:lang w:val="zh-CN" w:eastAsia="zh-CN"/>
        </w:rPr>
        <w:t>当事人</w:t>
      </w:r>
      <w:r>
        <w:rPr>
          <w:rFonts w:hint="eastAsia" w:ascii="仿宋" w:hAnsi="仿宋" w:eastAsia="仿宋" w:cs="仿宋"/>
          <w:spacing w:val="-3"/>
          <w:sz w:val="32"/>
          <w:szCs w:val="32"/>
          <w:u w:val="single"/>
          <w:lang w:val="en-US" w:eastAsia="zh-CN"/>
        </w:rPr>
        <w:t>送达了泽市监罚告〔2024〕</w:t>
      </w:r>
      <w:r>
        <w:rPr>
          <w:rFonts w:hint="eastAsia" w:ascii="仿宋" w:hAnsi="仿宋" w:eastAsia="仿宋" w:cs="仿宋"/>
          <w:color w:val="auto"/>
          <w:spacing w:val="-3"/>
          <w:sz w:val="32"/>
          <w:szCs w:val="32"/>
          <w:u w:val="single"/>
          <w:lang w:val="en-US" w:eastAsia="zh-CN"/>
        </w:rPr>
        <w:t>55</w:t>
      </w:r>
      <w:r>
        <w:rPr>
          <w:rFonts w:hint="eastAsia" w:ascii="仿宋" w:hAnsi="仿宋" w:eastAsia="仿宋" w:cs="仿宋"/>
          <w:spacing w:val="-3"/>
          <w:sz w:val="32"/>
          <w:szCs w:val="32"/>
          <w:u w:val="single"/>
          <w:lang w:val="en-US" w:eastAsia="zh-CN"/>
        </w:rPr>
        <w:t>号《泽普县市场监督管理局行政处罚告知书》，</w:t>
      </w:r>
      <w:r>
        <w:rPr>
          <w:rFonts w:hint="eastAsia" w:ascii="仿宋" w:hAnsi="仿宋" w:eastAsia="仿宋" w:cs="仿宋"/>
          <w:spacing w:val="-3"/>
          <w:sz w:val="32"/>
          <w:szCs w:val="32"/>
          <w:u w:val="single"/>
          <w:lang w:val="zh-CN" w:eastAsia="zh-CN"/>
        </w:rPr>
        <w:t>当事人</w:t>
      </w:r>
      <w:r>
        <w:rPr>
          <w:rFonts w:hint="eastAsia" w:ascii="仿宋" w:hAnsi="仿宋" w:eastAsia="仿宋" w:cs="仿宋"/>
          <w:spacing w:val="-3"/>
          <w:sz w:val="32"/>
          <w:szCs w:val="32"/>
          <w:u w:val="single"/>
          <w:lang w:val="en-US" w:eastAsia="zh-CN"/>
        </w:rPr>
        <w:t>在五个工作日内未提出陈述、申辩。</w:t>
      </w:r>
    </w:p>
    <w:p>
      <w:pPr>
        <w:keepNext w:val="0"/>
        <w:keepLines w:val="0"/>
        <w:pageBreakBefore w:val="0"/>
        <w:overflowPunct/>
        <w:topLinePunct w:val="0"/>
        <w:bidi w:val="0"/>
        <w:spacing w:line="500" w:lineRule="exact"/>
        <w:ind w:firstLine="655"/>
        <w:rPr>
          <w:rFonts w:hint="eastAsia" w:ascii="仿宋" w:hAnsi="仿宋" w:eastAsia="仿宋" w:cs="仿宋"/>
          <w:color w:val="auto"/>
          <w:sz w:val="32"/>
          <w:szCs w:val="32"/>
          <w:u w:val="single" w:color="auto"/>
          <w:lang w:val="en-US" w:eastAsia="zh-CN"/>
        </w:rPr>
      </w:pPr>
      <w:r>
        <w:rPr>
          <w:rFonts w:hint="eastAsia" w:ascii="仿宋" w:hAnsi="仿宋" w:eastAsia="仿宋" w:cs="仿宋"/>
          <w:spacing w:val="-3"/>
          <w:sz w:val="32"/>
          <w:szCs w:val="32"/>
        </w:rPr>
        <w:t>本局认为</w:t>
      </w:r>
      <w:r>
        <w:rPr>
          <w:rFonts w:hint="eastAsia" w:ascii="仿宋" w:hAnsi="仿宋" w:eastAsia="仿宋" w:cs="仿宋"/>
          <w:spacing w:val="-41"/>
          <w:sz w:val="32"/>
          <w:szCs w:val="32"/>
        </w:rPr>
        <w:t>，</w:t>
      </w:r>
      <w:r>
        <w:rPr>
          <w:rFonts w:hint="eastAsia" w:ascii="仿宋" w:hAnsi="仿宋" w:eastAsia="仿宋" w:cs="仿宋"/>
          <w:sz w:val="32"/>
          <w:szCs w:val="32"/>
          <w:u w:val="single"/>
          <w:lang w:val="en-US" w:eastAsia="zh-CN"/>
        </w:rPr>
        <w:t>当事人</w:t>
      </w:r>
      <w:r>
        <w:rPr>
          <w:rFonts w:hint="eastAsia" w:ascii="仿宋" w:hAnsi="仿宋" w:eastAsia="仿宋" w:cs="仿宋"/>
          <w:sz w:val="32"/>
          <w:szCs w:val="32"/>
          <w:u w:val="single"/>
          <w:lang w:eastAsia="zh-CN"/>
        </w:rPr>
        <w:t>违反了</w:t>
      </w:r>
      <w:r>
        <w:rPr>
          <w:rFonts w:hint="eastAsia" w:ascii="仿宋" w:hAnsi="仿宋" w:eastAsia="仿宋" w:cs="仿宋"/>
          <w:sz w:val="32"/>
          <w:szCs w:val="32"/>
          <w:u w:val="single"/>
          <w:lang w:val="en-US" w:eastAsia="zh-CN"/>
        </w:rPr>
        <w:t>《中华人民共和国食品安全法》第三十四条第一款第四项的规定</w:t>
      </w:r>
      <w:r>
        <w:rPr>
          <w:rFonts w:hint="eastAsia" w:ascii="仿宋" w:hAnsi="仿宋" w:eastAsia="仿宋" w:cs="仿宋"/>
          <w:sz w:val="32"/>
          <w:szCs w:val="32"/>
          <w:u w:val="single"/>
          <w:lang w:eastAsia="zh-CN"/>
        </w:rPr>
        <w:t>：“禁止生产经营下列食品、食品添加剂、食品相关产品：…（四）</w:t>
      </w:r>
      <w:r>
        <w:rPr>
          <w:rFonts w:hint="eastAsia" w:ascii="仿宋" w:hAnsi="仿宋" w:eastAsia="仿宋" w:cs="仿宋"/>
          <w:sz w:val="32"/>
          <w:szCs w:val="32"/>
          <w:u w:val="single"/>
          <w:lang w:val="en-US" w:eastAsia="zh-CN"/>
        </w:rPr>
        <w:t>超范围、超限量使用食品添加剂的食品</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第六十五条的规定</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食用农产品销售者应当建立食用农产品进货查验记录制度，如实记录食用农产品的名称、数量、进货日期以及供货者名称、地址、联系方式等内容，并保存相关凭证。记录和凭证保存期限不得少于六个月。</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第四十条第二项的规定</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食品生产经营者应当按照食品安全国家标准使用食品添加剂</w:t>
      </w:r>
      <w:r>
        <w:rPr>
          <w:rFonts w:hint="eastAsia" w:ascii="仿宋" w:hAnsi="仿宋" w:eastAsia="仿宋" w:cs="仿宋"/>
          <w:sz w:val="32"/>
          <w:szCs w:val="32"/>
          <w:u w:val="single"/>
          <w:lang w:eastAsia="zh-CN"/>
        </w:rPr>
        <w:t>；”，涉嫌构成</w:t>
      </w:r>
      <w:r>
        <w:rPr>
          <w:rFonts w:hint="eastAsia" w:ascii="仿宋" w:hAnsi="仿宋" w:eastAsia="仿宋" w:cs="仿宋"/>
          <w:sz w:val="32"/>
          <w:szCs w:val="32"/>
          <w:u w:val="single"/>
          <w:lang w:val="en-US" w:eastAsia="zh-CN"/>
        </w:rPr>
        <w:t>经营超限量使用食品添加剂的食品（杏干）、未履行进货查验制度的违法行为</w:t>
      </w:r>
      <w:r>
        <w:rPr>
          <w:rFonts w:hint="eastAsia" w:ascii="仿宋" w:hAnsi="仿宋" w:eastAsia="仿宋" w:cs="仿宋"/>
          <w:sz w:val="32"/>
          <w:szCs w:val="32"/>
          <w:u w:val="single"/>
          <w:lang w:eastAsia="zh-CN"/>
        </w:rPr>
        <w:t>。</w:t>
      </w:r>
    </w:p>
    <w:p>
      <w:pPr>
        <w:keepNext w:val="0"/>
        <w:keepLines w:val="0"/>
        <w:pageBreakBefore w:val="0"/>
        <w:overflowPunct/>
        <w:topLinePunct w:val="0"/>
        <w:bidi w:val="0"/>
        <w:spacing w:line="500" w:lineRule="exact"/>
        <w:ind w:firstLine="655"/>
        <w:rPr>
          <w:rFonts w:hint="eastAsia" w:ascii="仿宋" w:hAnsi="仿宋" w:eastAsia="仿宋" w:cs="仿宋"/>
          <w:sz w:val="32"/>
          <w:szCs w:val="32"/>
        </w:rPr>
      </w:pPr>
      <w:r>
        <w:rPr>
          <w:rFonts w:hint="eastAsia" w:ascii="仿宋" w:hAnsi="仿宋" w:eastAsia="仿宋" w:cs="仿宋"/>
          <w:spacing w:val="4"/>
          <w:sz w:val="32"/>
          <w:szCs w:val="32"/>
          <w:u w:val="single" w:color="auto"/>
          <w:lang w:val="en-US" w:eastAsia="zh-CN"/>
        </w:rPr>
        <w:t>处罚依据《中华人民共和国食品安全法》第一百二十四条第一款第三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三）生产经营超范围、超限量使用食品添加剂的食品”。</w:t>
      </w:r>
    </w:p>
    <w:p>
      <w:pPr>
        <w:spacing w:line="520" w:lineRule="exact"/>
        <w:ind w:firstLine="640" w:firstLineChars="200"/>
        <w:rPr>
          <w:rFonts w:hint="eastAsia" w:ascii="仿宋" w:hAnsi="仿宋" w:eastAsia="仿宋" w:cs="仿宋"/>
          <w:bCs/>
          <w:sz w:val="32"/>
          <w:szCs w:val="32"/>
          <w:u w:val="single"/>
        </w:rPr>
      </w:pPr>
      <w:r>
        <w:rPr>
          <w:rFonts w:hint="eastAsia" w:ascii="仿宋" w:hAnsi="仿宋" w:eastAsia="仿宋" w:cs="仿宋"/>
          <w:bCs/>
          <w:sz w:val="32"/>
          <w:szCs w:val="32"/>
          <w:u w:val="single"/>
          <w:lang w:val="en-US" w:eastAsia="zh-CN"/>
        </w:rPr>
        <w:t>因当事人系初次违法，在本案中能积极配合办案人员调查，如实陈述违法事实并主动提供证据材料，在经营场所明显处张贴公示不合格杏干的信息，如实提供未销售完的不合格杏干，且违法行为造成的社会危害性较小，通过整改报告发现当事人已认识到涉嫌违法行为带来的危害，主观态度较为积极，根据根据《中华人民共和国行政处罚法》第三十二条第一项：“当事人有下列情形之一，应当从轻或者减轻行政处罚：（一）主动消除或者减轻违法行为危害后果的；”的规定及《关于规范市场监督管理行政处罚裁量权的指导意见》第十四条第三项：“有下列情形之一的，可以依法从轻或者减轻行政处罚：（2）积极配合市场监管部门调查并主动提供证据材料的；”（3）违法行为轻微，社会危害性较小；”的规定有从轻、减轻处罚情节。结合处罚与教育相结合、过罚相当、综合裁量原则综合考虑，办案人员建议对当事人减轻行政处罚。</w:t>
      </w:r>
    </w:p>
    <w:p>
      <w:pPr>
        <w:keepNext w:val="0"/>
        <w:keepLines w:val="0"/>
        <w:pageBreakBefore w:val="0"/>
        <w:overflowPunct/>
        <w:topLinePunct w:val="0"/>
        <w:bidi w:val="0"/>
        <w:spacing w:line="500" w:lineRule="exact"/>
        <w:ind w:left="226" w:right="133" w:firstLine="659"/>
        <w:rPr>
          <w:rFonts w:hint="eastAsia" w:ascii="仿宋" w:hAnsi="仿宋" w:eastAsia="仿宋" w:cs="仿宋"/>
          <w:sz w:val="32"/>
          <w:szCs w:val="32"/>
        </w:rPr>
      </w:pPr>
      <w:r>
        <w:rPr>
          <w:rFonts w:hint="eastAsia" w:ascii="仿宋" w:hAnsi="仿宋" w:eastAsia="仿宋" w:cs="仿宋"/>
          <w:spacing w:val="-9"/>
          <w:sz w:val="32"/>
          <w:szCs w:val="32"/>
        </w:rPr>
        <w:t>综上，</w:t>
      </w:r>
      <w:r>
        <w:rPr>
          <w:rFonts w:hint="eastAsia" w:ascii="仿宋" w:hAnsi="仿宋" w:eastAsia="仿宋" w:cs="仿宋"/>
          <w:spacing w:val="-9"/>
          <w:sz w:val="32"/>
          <w:szCs w:val="32"/>
          <w:u w:val="single"/>
        </w:rPr>
        <w:t>当事人上述行为</w:t>
      </w:r>
      <w:r>
        <w:rPr>
          <w:rFonts w:hint="eastAsia" w:ascii="仿宋" w:hAnsi="仿宋" w:eastAsia="仿宋" w:cs="仿宋"/>
          <w:spacing w:val="-9"/>
          <w:sz w:val="32"/>
          <w:szCs w:val="32"/>
          <w:u w:val="single"/>
          <w:lang w:eastAsia="zh-CN"/>
        </w:rPr>
        <w:t>违反了</w:t>
      </w:r>
      <w:r>
        <w:rPr>
          <w:rFonts w:hint="eastAsia" w:ascii="仿宋" w:hAnsi="仿宋" w:eastAsia="仿宋" w:cs="仿宋"/>
          <w:spacing w:val="-9"/>
          <w:sz w:val="32"/>
          <w:szCs w:val="32"/>
          <w:u w:val="single"/>
          <w:lang w:val="en-US" w:eastAsia="zh-CN"/>
        </w:rPr>
        <w:t>《中华人民共和国食品安全法》</w:t>
      </w:r>
      <w:r>
        <w:rPr>
          <w:rFonts w:hint="eastAsia" w:ascii="仿宋" w:hAnsi="仿宋" w:eastAsia="仿宋" w:cs="仿宋"/>
          <w:sz w:val="32"/>
          <w:szCs w:val="32"/>
          <w:u w:val="single"/>
          <w:lang w:val="en-US" w:eastAsia="zh-CN"/>
        </w:rPr>
        <w:t>第三十四条第一款第四项</w:t>
      </w:r>
      <w:r>
        <w:rPr>
          <w:rFonts w:hint="eastAsia" w:ascii="仿宋" w:hAnsi="仿宋" w:eastAsia="仿宋" w:cs="仿宋"/>
          <w:spacing w:val="-9"/>
          <w:sz w:val="32"/>
          <w:szCs w:val="32"/>
          <w:u w:val="single"/>
          <w:lang w:val="en-US" w:eastAsia="zh-CN"/>
        </w:rPr>
        <w:t>，第六十五条，</w:t>
      </w:r>
      <w:r>
        <w:rPr>
          <w:rFonts w:hint="eastAsia" w:ascii="仿宋" w:hAnsi="仿宋" w:eastAsia="仿宋" w:cs="仿宋"/>
          <w:sz w:val="32"/>
          <w:szCs w:val="32"/>
          <w:u w:val="single"/>
          <w:lang w:val="en-US" w:eastAsia="zh-CN"/>
        </w:rPr>
        <w:t>第四十条第二项</w:t>
      </w:r>
      <w:r>
        <w:rPr>
          <w:rFonts w:hint="eastAsia" w:ascii="仿宋" w:hAnsi="仿宋" w:eastAsia="仿宋" w:cs="仿宋"/>
          <w:spacing w:val="-9"/>
          <w:sz w:val="32"/>
          <w:szCs w:val="32"/>
          <w:u w:val="single"/>
          <w:lang w:val="en-US" w:eastAsia="zh-CN"/>
        </w:rPr>
        <w:t>的规定，依据</w:t>
      </w:r>
      <w:r>
        <w:rPr>
          <w:rFonts w:hint="eastAsia" w:ascii="仿宋" w:hAnsi="仿宋" w:eastAsia="仿宋" w:cs="仿宋"/>
          <w:spacing w:val="-9"/>
          <w:sz w:val="32"/>
          <w:szCs w:val="32"/>
          <w:u w:val="single"/>
          <w:lang w:eastAsia="zh-CN"/>
        </w:rPr>
        <w:t>《中华人民共和国食品安全法》第一百二十四条第一款第三项的规定</w:t>
      </w:r>
      <w:r>
        <w:rPr>
          <w:rFonts w:hint="eastAsia" w:ascii="仿宋" w:hAnsi="仿宋" w:eastAsia="仿宋" w:cs="仿宋"/>
          <w:spacing w:val="-9"/>
          <w:sz w:val="32"/>
          <w:szCs w:val="32"/>
          <w:u w:val="single"/>
          <w:lang w:val="en-US" w:eastAsia="zh-CN"/>
        </w:rPr>
        <w:t>，现责令当事人改正上述违法行为，决定处罚如下：</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textAlignment w:val="auto"/>
        <w:rPr>
          <w:rFonts w:hint="eastAsia" w:ascii="仿宋" w:hAnsi="仿宋" w:eastAsia="仿宋" w:cs="仿宋"/>
          <w:sz w:val="32"/>
          <w:szCs w:val="32"/>
          <w:u w:val="single"/>
          <w:lang w:eastAsia="zh-CN"/>
        </w:rPr>
      </w:pPr>
      <w:r>
        <w:rPr>
          <w:rFonts w:hint="eastAsia" w:ascii="仿宋" w:hAnsi="仿宋" w:eastAsia="仿宋" w:cs="仿宋"/>
          <w:spacing w:val="0"/>
          <w:kern w:val="0"/>
          <w:sz w:val="32"/>
          <w:szCs w:val="32"/>
          <w:highlight w:val="none"/>
          <w:u w:val="none"/>
          <w:lang w:val="en-US" w:eastAsia="zh-CN"/>
        </w:rPr>
        <w:t>（1）</w:t>
      </w:r>
      <w:r>
        <w:rPr>
          <w:rFonts w:hint="eastAsia" w:ascii="仿宋" w:hAnsi="仿宋" w:eastAsia="仿宋" w:cs="仿宋"/>
          <w:spacing w:val="0"/>
          <w:kern w:val="0"/>
          <w:sz w:val="32"/>
          <w:szCs w:val="32"/>
          <w:highlight w:val="none"/>
          <w:u w:val="single"/>
          <w:lang w:val="en-US" w:eastAsia="zh-CN"/>
        </w:rPr>
        <w:t>.对涉嫌</w:t>
      </w:r>
      <w:r>
        <w:rPr>
          <w:rFonts w:hint="eastAsia" w:ascii="仿宋" w:hAnsi="仿宋" w:eastAsia="仿宋" w:cs="仿宋"/>
          <w:sz w:val="32"/>
          <w:szCs w:val="32"/>
          <w:u w:val="single"/>
          <w:lang w:val="en-US" w:eastAsia="zh-CN"/>
        </w:rPr>
        <w:t>未履行进货查验制度的</w:t>
      </w:r>
      <w:r>
        <w:rPr>
          <w:rFonts w:hint="eastAsia" w:ascii="仿宋" w:hAnsi="仿宋" w:eastAsia="仿宋" w:cs="仿宋"/>
          <w:sz w:val="32"/>
          <w:szCs w:val="32"/>
          <w:u w:val="single"/>
          <w:lang w:eastAsia="zh-CN"/>
        </w:rPr>
        <w:t>违法行为给予警告；</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textAlignment w:val="auto"/>
        <w:rPr>
          <w:rFonts w:hint="eastAsia" w:ascii="仿宋" w:hAnsi="仿宋" w:eastAsia="仿宋" w:cs="仿宋"/>
          <w:color w:val="auto"/>
          <w:spacing w:val="0"/>
          <w:kern w:val="0"/>
          <w:sz w:val="32"/>
          <w:szCs w:val="32"/>
          <w:highlight w:val="none"/>
          <w:u w:val="single"/>
          <w:lang w:val="en-US" w:eastAsia="zh-CN"/>
        </w:rPr>
      </w:pPr>
      <w:r>
        <w:rPr>
          <w:rFonts w:hint="eastAsia" w:ascii="仿宋" w:hAnsi="仿宋" w:eastAsia="仿宋" w:cs="仿宋"/>
          <w:spacing w:val="0"/>
          <w:kern w:val="0"/>
          <w:sz w:val="32"/>
          <w:szCs w:val="32"/>
          <w:highlight w:val="none"/>
          <w:u w:val="none"/>
          <w:lang w:val="en-US" w:eastAsia="zh-CN"/>
        </w:rPr>
        <w:t>（2）</w:t>
      </w:r>
      <w:r>
        <w:rPr>
          <w:rFonts w:hint="eastAsia" w:ascii="仿宋" w:hAnsi="仿宋" w:eastAsia="仿宋" w:cs="仿宋"/>
          <w:spacing w:val="0"/>
          <w:kern w:val="0"/>
          <w:sz w:val="32"/>
          <w:szCs w:val="32"/>
          <w:highlight w:val="none"/>
          <w:u w:val="single"/>
          <w:lang w:val="en-US" w:eastAsia="zh-CN"/>
        </w:rPr>
        <w:t>.对涉嫌经营超限量使用食品添加剂的食品</w:t>
      </w:r>
      <w:r>
        <w:rPr>
          <w:rFonts w:hint="eastAsia" w:ascii="仿宋" w:hAnsi="仿宋" w:eastAsia="仿宋" w:cs="仿宋"/>
          <w:bCs/>
          <w:sz w:val="32"/>
          <w:szCs w:val="32"/>
          <w:u w:val="single"/>
          <w:lang w:val="en-US" w:eastAsia="zh-CN"/>
        </w:rPr>
        <w:t>（杏干）</w:t>
      </w:r>
      <w:r>
        <w:rPr>
          <w:rFonts w:hint="eastAsia" w:ascii="仿宋" w:hAnsi="仿宋" w:eastAsia="仿宋" w:cs="仿宋"/>
          <w:spacing w:val="0"/>
          <w:kern w:val="0"/>
          <w:sz w:val="32"/>
          <w:szCs w:val="32"/>
          <w:highlight w:val="none"/>
          <w:u w:val="single"/>
          <w:lang w:val="en-US" w:eastAsia="zh-CN"/>
        </w:rPr>
        <w:t>罚款1000元、</w:t>
      </w:r>
      <w:r>
        <w:rPr>
          <w:rFonts w:hint="eastAsia" w:ascii="仿宋" w:hAnsi="仿宋" w:eastAsia="仿宋" w:cs="仿宋"/>
          <w:color w:val="auto"/>
          <w:spacing w:val="0"/>
          <w:kern w:val="0"/>
          <w:sz w:val="32"/>
          <w:szCs w:val="32"/>
          <w:highlight w:val="none"/>
          <w:u w:val="single"/>
          <w:lang w:val="en-US" w:eastAsia="zh-CN"/>
        </w:rPr>
        <w:t>没收违法所得</w:t>
      </w:r>
      <w:r>
        <w:rPr>
          <w:rFonts w:hint="eastAsia" w:ascii="仿宋" w:hAnsi="仿宋" w:eastAsia="仿宋" w:cs="仿宋"/>
          <w:color w:val="auto"/>
          <w:sz w:val="32"/>
          <w:szCs w:val="32"/>
          <w:u w:val="single"/>
          <w:lang w:val="en-US" w:eastAsia="zh-CN"/>
        </w:rPr>
        <w:t>181.5</w:t>
      </w:r>
      <w:r>
        <w:rPr>
          <w:rFonts w:hint="eastAsia" w:ascii="仿宋" w:hAnsi="仿宋" w:eastAsia="仿宋" w:cs="仿宋"/>
          <w:color w:val="auto"/>
          <w:spacing w:val="0"/>
          <w:kern w:val="0"/>
          <w:sz w:val="32"/>
          <w:szCs w:val="32"/>
          <w:highlight w:val="none"/>
          <w:u w:val="single"/>
          <w:lang w:val="en-US" w:eastAsia="zh-CN"/>
        </w:rPr>
        <w:t>元，以上罚没款合计1181.5元（大写壹仟壹佰</w:t>
      </w:r>
      <w:r>
        <w:rPr>
          <w:rFonts w:hint="eastAsia" w:ascii="仿宋" w:hAnsi="仿宋" w:eastAsia="仿宋" w:cs="仿宋"/>
          <w:bCs/>
          <w:sz w:val="32"/>
          <w:szCs w:val="32"/>
          <w:u w:val="single"/>
          <w:lang w:eastAsia="zh-CN"/>
        </w:rPr>
        <w:t>捌</w:t>
      </w:r>
      <w:r>
        <w:rPr>
          <w:rFonts w:hint="eastAsia" w:ascii="仿宋" w:hAnsi="仿宋" w:eastAsia="仿宋" w:cs="仿宋"/>
          <w:color w:val="auto"/>
          <w:spacing w:val="0"/>
          <w:kern w:val="0"/>
          <w:sz w:val="32"/>
          <w:szCs w:val="32"/>
          <w:highlight w:val="none"/>
          <w:u w:val="single"/>
          <w:lang w:val="en-US" w:eastAsia="zh-CN"/>
        </w:rPr>
        <w:t>拾壹元伍角）。</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textAlignment w:val="auto"/>
        <w:rPr>
          <w:rFonts w:hint="eastAsia" w:ascii="仿宋_GB2312" w:hAnsi="仿宋_GB2312" w:eastAsia="仿宋" w:cs="仿宋_GB2312"/>
          <w:spacing w:val="0"/>
          <w:kern w:val="0"/>
          <w:sz w:val="32"/>
          <w:szCs w:val="32"/>
          <w:u w:val="none"/>
          <w:lang w:val="en-US" w:eastAsia="zh-CN"/>
        </w:rPr>
      </w:pPr>
      <w:r>
        <w:rPr>
          <w:rFonts w:hint="eastAsia" w:ascii="仿宋" w:hAnsi="仿宋" w:eastAsia="仿宋" w:cs="仿宋"/>
          <w:spacing w:val="0"/>
          <w:kern w:val="0"/>
          <w:sz w:val="32"/>
          <w:szCs w:val="32"/>
          <w:highlight w:val="none"/>
          <w:u w:val="none"/>
          <w:lang w:val="en-US" w:eastAsia="zh-CN"/>
        </w:rPr>
        <w:t>（3）</w:t>
      </w:r>
      <w:r>
        <w:rPr>
          <w:rFonts w:hint="eastAsia" w:ascii="仿宋" w:hAnsi="仿宋" w:eastAsia="仿宋" w:cs="仿宋"/>
          <w:spacing w:val="0"/>
          <w:kern w:val="0"/>
          <w:sz w:val="32"/>
          <w:szCs w:val="32"/>
          <w:highlight w:val="none"/>
          <w:u w:val="single"/>
          <w:lang w:val="en-US" w:eastAsia="zh-CN"/>
        </w:rPr>
        <w:t>.没收没有销售完的不合格杏干（43.95Kg）</w:t>
      </w:r>
      <w:r>
        <w:rPr>
          <w:rFonts w:hint="eastAsia" w:ascii="仿宋" w:hAnsi="仿宋" w:eastAsia="仿宋" w:cs="仿宋"/>
          <w:sz w:val="32"/>
          <w:szCs w:val="32"/>
          <w:u w:val="single"/>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40" w:firstLineChars="200"/>
        <w:textAlignment w:val="auto"/>
        <w:rPr>
          <w:rFonts w:hint="eastAsia" w:ascii="仿宋_GB2312" w:hAnsi="仿宋_GB2312" w:eastAsia="仿宋" w:cs="仿宋_GB2312"/>
          <w:spacing w:val="0"/>
          <w:kern w:val="0"/>
          <w:sz w:val="32"/>
          <w:szCs w:val="32"/>
          <w:u w:val="single"/>
          <w:lang w:val="en-US" w:eastAsia="zh-CN"/>
        </w:rPr>
      </w:pPr>
      <w:r>
        <w:rPr>
          <w:rFonts w:hint="eastAsia" w:ascii="仿宋_GB2312" w:hAnsi="仿宋_GB2312" w:eastAsia="仿宋" w:cs="仿宋_GB2312"/>
          <w:spacing w:val="0"/>
          <w:kern w:val="0"/>
          <w:sz w:val="32"/>
          <w:szCs w:val="32"/>
          <w:u w:val="none"/>
          <w:lang w:val="en-US" w:eastAsia="zh-CN"/>
        </w:rPr>
        <w:t>当事人应当自收到行政处罚决定书之日起十五日内，将罚没款缴至</w:t>
      </w:r>
      <w:r>
        <w:rPr>
          <w:rFonts w:hint="eastAsia" w:ascii="仿宋_GB2312" w:hAnsi="仿宋_GB2312" w:eastAsia="仿宋" w:cs="仿宋_GB2312"/>
          <w:spacing w:val="0"/>
          <w:kern w:val="0"/>
          <w:sz w:val="32"/>
          <w:szCs w:val="32"/>
          <w:u w:val="single"/>
          <w:lang w:val="en-US" w:eastAsia="zh-CN"/>
        </w:rPr>
        <w:t>中国工商</w:t>
      </w:r>
      <w:r>
        <w:rPr>
          <w:rFonts w:hint="eastAsia" w:ascii="仿宋_GB2312" w:hAnsi="仿宋_GB2312" w:eastAsia="仿宋" w:cs="仿宋_GB2312"/>
          <w:spacing w:val="0"/>
          <w:kern w:val="0"/>
          <w:sz w:val="32"/>
          <w:szCs w:val="32"/>
          <w:u w:val="none"/>
          <w:lang w:val="en-US" w:eastAsia="zh-CN"/>
        </w:rPr>
        <w:t>银行。到期不缴纳罚款的，依据《中华人民共和国行政处罚法》第七十二条的规定，本局将每日按罚款数额的百分之三加处罚款，并依法申请法院强制执行。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rPr>
          <w:rFonts w:hint="eastAsia" w:ascii="仿宋_GB2312" w:hAnsi="仿宋_GB2312" w:eastAsia="仿宋" w:cs="仿宋_GB2312"/>
          <w:spacing w:val="0"/>
          <w:kern w:val="0"/>
          <w:sz w:val="32"/>
          <w:szCs w:val="32"/>
          <w:u w:val="none"/>
          <w:lang w:val="en-US" w:eastAsia="zh-CN"/>
        </w:rPr>
      </w:pPr>
      <w:r>
        <w:rPr>
          <w:rFonts w:hint="eastAsia" w:ascii="仿宋_GB2312" w:hAnsi="仿宋_GB2312" w:eastAsia="仿宋" w:cs="仿宋_GB2312"/>
          <w:spacing w:val="0"/>
          <w:kern w:val="0"/>
          <w:sz w:val="32"/>
          <w:szCs w:val="32"/>
          <w:u w:val="none"/>
          <w:lang w:val="en-US" w:eastAsia="zh-CN"/>
        </w:rPr>
        <w:t>如你（单位）不服本行政处罚决定，可以在收到本行政处罚决定书之日起六十日内向</w:t>
      </w:r>
      <w:r>
        <w:rPr>
          <w:rFonts w:hint="eastAsia" w:ascii="仿宋_GB2312" w:hAnsi="仿宋_GB2312" w:eastAsia="仿宋" w:cs="仿宋_GB2312"/>
          <w:spacing w:val="0"/>
          <w:kern w:val="0"/>
          <w:sz w:val="32"/>
          <w:szCs w:val="32"/>
          <w:u w:val="single"/>
          <w:lang w:val="en-US" w:eastAsia="zh-CN"/>
        </w:rPr>
        <w:t>泽普县人民政府</w:t>
      </w:r>
      <w:r>
        <w:rPr>
          <w:rFonts w:hint="eastAsia" w:ascii="仿宋_GB2312" w:hAnsi="仿宋_GB2312" w:eastAsia="仿宋" w:cs="仿宋_GB2312"/>
          <w:spacing w:val="0"/>
          <w:kern w:val="0"/>
          <w:sz w:val="32"/>
          <w:szCs w:val="32"/>
          <w:u w:val="none"/>
          <w:lang w:val="en-US" w:eastAsia="zh-CN"/>
        </w:rPr>
        <w:t>申请行政复议；也可以在六个月内依法向</w:t>
      </w:r>
      <w:r>
        <w:rPr>
          <w:rFonts w:hint="eastAsia" w:ascii="仿宋_GB2312" w:hAnsi="仿宋_GB2312" w:eastAsia="仿宋" w:cs="仿宋_GB2312"/>
          <w:spacing w:val="0"/>
          <w:kern w:val="0"/>
          <w:sz w:val="32"/>
          <w:szCs w:val="32"/>
          <w:u w:val="single"/>
          <w:lang w:val="en-US" w:eastAsia="zh-CN"/>
        </w:rPr>
        <w:t>泽普县</w:t>
      </w:r>
      <w:r>
        <w:rPr>
          <w:rFonts w:hint="eastAsia" w:ascii="仿宋_GB2312" w:hAnsi="仿宋_GB2312" w:eastAsia="仿宋" w:cs="仿宋_GB2312"/>
          <w:spacing w:val="0"/>
          <w:kern w:val="0"/>
          <w:sz w:val="32"/>
          <w:szCs w:val="32"/>
          <w:u w:val="none"/>
          <w:lang w:val="en-US" w:eastAsia="zh-CN"/>
        </w:rPr>
        <w:t>人民法院提起行政诉讼。申请行政复议或者提起行政诉讼期间，行政处罚不停止执行。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hint="eastAsia" w:ascii="仿宋_GB2312" w:hAnsi="仿宋_GB2312" w:eastAsia="仿宋" w:cs="仿宋_GB2312"/>
          <w:spacing w:val="0"/>
          <w:kern w:val="0"/>
          <w:sz w:val="32"/>
          <w:szCs w:val="32"/>
          <w:u w:val="none"/>
          <w:lang w:val="en-US" w:eastAsia="zh-CN"/>
        </w:rPr>
      </w:pPr>
      <w:r>
        <w:rPr>
          <w:rFonts w:hint="eastAsia" w:ascii="仿宋_GB2312" w:hAnsi="仿宋_GB2312" w:eastAsia="仿宋" w:cs="仿宋_GB2312"/>
          <w:spacing w:val="0"/>
          <w:kern w:val="0"/>
          <w:sz w:val="32"/>
          <w:szCs w:val="32"/>
          <w:u w:val="none"/>
          <w:lang w:val="en-US" w:eastAsia="zh-CN"/>
        </w:rPr>
        <w:t>泽普县市场监督管理局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jc w:val="center"/>
        <w:textAlignment w:val="auto"/>
        <w:rPr>
          <w:rFonts w:hint="eastAsia" w:ascii="仿宋_GB2312" w:hAnsi="仿宋_GB2312" w:eastAsia="仿宋" w:cs="仿宋_GB2312"/>
          <w:spacing w:val="0"/>
          <w:kern w:val="0"/>
          <w:sz w:val="32"/>
          <w:szCs w:val="32"/>
          <w:u w:val="none"/>
          <w:lang w:val="en-US" w:eastAsia="zh-CN"/>
        </w:rPr>
      </w:pPr>
      <w:r>
        <w:rPr>
          <w:rFonts w:hint="eastAsia" w:ascii="仿宋_GB2312" w:hAnsi="仿宋_GB2312" w:eastAsia="仿宋" w:cs="仿宋_GB2312"/>
          <w:spacing w:val="0"/>
          <w:kern w:val="0"/>
          <w:sz w:val="32"/>
          <w:szCs w:val="32"/>
          <w:u w:val="none"/>
          <w:lang w:val="en-US" w:eastAsia="zh-CN"/>
        </w:rPr>
        <w:t xml:space="preserve">                                 (印章)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ascii="方正仿宋_GBK" w:hAnsi="方正仿宋_GBK" w:eastAsia="方正仿宋_GBK" w:cs="方正仿宋_GBK"/>
          <w:sz w:val="24"/>
        </w:rPr>
      </w:pPr>
      <w:r>
        <w:rPr>
          <w:rFonts w:hint="eastAsia" w:ascii="仿宋_GB2312" w:hAnsi="仿宋_GB2312" w:eastAsia="仿宋" w:cs="仿宋_GB2312"/>
          <w:spacing w:val="0"/>
          <w:kern w:val="0"/>
          <w:sz w:val="32"/>
          <w:szCs w:val="32"/>
          <w:u w:val="none"/>
          <w:lang w:val="en-US" w:eastAsia="zh-CN"/>
        </w:rPr>
        <w:t>2024年12月19日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2"/>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Microsoft JhengHei">
    <w:altName w:val="方正书宋_GBK"/>
    <w:panose1 w:val="020B0604030504040204"/>
    <w:charset w:val="88"/>
    <w:family w:val="auto"/>
    <w:pitch w:val="default"/>
    <w:sig w:usb0="00000000" w:usb1="00000000" w:usb2="00000016" w:usb3="00000000" w:csb0="00100009"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jYmUyNWJkNWRkNDU0NWM1ZWM4MTQwNDk2ZTUwZTYifQ=="/>
  </w:docVars>
  <w:rsids>
    <w:rsidRoot w:val="0075798C"/>
    <w:rsid w:val="00002DEA"/>
    <w:rsid w:val="000454B8"/>
    <w:rsid w:val="0005682C"/>
    <w:rsid w:val="0007121F"/>
    <w:rsid w:val="000941C6"/>
    <w:rsid w:val="000A73B1"/>
    <w:rsid w:val="000B235A"/>
    <w:rsid w:val="000D18CC"/>
    <w:rsid w:val="00193544"/>
    <w:rsid w:val="001D4404"/>
    <w:rsid w:val="0020247F"/>
    <w:rsid w:val="0021791A"/>
    <w:rsid w:val="00235807"/>
    <w:rsid w:val="00305CAA"/>
    <w:rsid w:val="00310002"/>
    <w:rsid w:val="0037689F"/>
    <w:rsid w:val="0038660E"/>
    <w:rsid w:val="00392C9A"/>
    <w:rsid w:val="00393501"/>
    <w:rsid w:val="003A78B0"/>
    <w:rsid w:val="003D62BB"/>
    <w:rsid w:val="00441AA1"/>
    <w:rsid w:val="00484DE7"/>
    <w:rsid w:val="004971CD"/>
    <w:rsid w:val="004A653D"/>
    <w:rsid w:val="004E2439"/>
    <w:rsid w:val="00505D5E"/>
    <w:rsid w:val="005215A1"/>
    <w:rsid w:val="00526CDC"/>
    <w:rsid w:val="00544913"/>
    <w:rsid w:val="00570671"/>
    <w:rsid w:val="00571F45"/>
    <w:rsid w:val="005D08B2"/>
    <w:rsid w:val="005D5B72"/>
    <w:rsid w:val="005E186F"/>
    <w:rsid w:val="005E31A8"/>
    <w:rsid w:val="005F796D"/>
    <w:rsid w:val="006126AC"/>
    <w:rsid w:val="00631AC9"/>
    <w:rsid w:val="00640190"/>
    <w:rsid w:val="00650687"/>
    <w:rsid w:val="00656E43"/>
    <w:rsid w:val="006801F6"/>
    <w:rsid w:val="006A7B14"/>
    <w:rsid w:val="00705BFF"/>
    <w:rsid w:val="00717998"/>
    <w:rsid w:val="0073548C"/>
    <w:rsid w:val="007448DA"/>
    <w:rsid w:val="0075798C"/>
    <w:rsid w:val="00763223"/>
    <w:rsid w:val="007A1A7F"/>
    <w:rsid w:val="007E7082"/>
    <w:rsid w:val="00821F63"/>
    <w:rsid w:val="00827AF5"/>
    <w:rsid w:val="0083040E"/>
    <w:rsid w:val="008315F6"/>
    <w:rsid w:val="00840E11"/>
    <w:rsid w:val="00843121"/>
    <w:rsid w:val="0085785E"/>
    <w:rsid w:val="00872C3A"/>
    <w:rsid w:val="008770AB"/>
    <w:rsid w:val="00912866"/>
    <w:rsid w:val="00946009"/>
    <w:rsid w:val="0095381B"/>
    <w:rsid w:val="00976CD7"/>
    <w:rsid w:val="009A443B"/>
    <w:rsid w:val="00A058B9"/>
    <w:rsid w:val="00A13905"/>
    <w:rsid w:val="00A13F37"/>
    <w:rsid w:val="00A21D9B"/>
    <w:rsid w:val="00A515F7"/>
    <w:rsid w:val="00A71F1B"/>
    <w:rsid w:val="00AA6A16"/>
    <w:rsid w:val="00AE7F5A"/>
    <w:rsid w:val="00AF0AC2"/>
    <w:rsid w:val="00B035F1"/>
    <w:rsid w:val="00B35203"/>
    <w:rsid w:val="00B47D31"/>
    <w:rsid w:val="00BE7D32"/>
    <w:rsid w:val="00C45247"/>
    <w:rsid w:val="00C80E4E"/>
    <w:rsid w:val="00CA79AF"/>
    <w:rsid w:val="00D015F3"/>
    <w:rsid w:val="00D35F53"/>
    <w:rsid w:val="00D37155"/>
    <w:rsid w:val="00D5158B"/>
    <w:rsid w:val="00E322A3"/>
    <w:rsid w:val="00E60AE5"/>
    <w:rsid w:val="00E67D94"/>
    <w:rsid w:val="00E737B3"/>
    <w:rsid w:val="00EA2C71"/>
    <w:rsid w:val="00EA64D3"/>
    <w:rsid w:val="00EF2D41"/>
    <w:rsid w:val="00F12217"/>
    <w:rsid w:val="00F6708D"/>
    <w:rsid w:val="00FC2638"/>
    <w:rsid w:val="035A72BF"/>
    <w:rsid w:val="087C5F39"/>
    <w:rsid w:val="0991537B"/>
    <w:rsid w:val="0B2B5170"/>
    <w:rsid w:val="0E0448B4"/>
    <w:rsid w:val="0E9E29B6"/>
    <w:rsid w:val="0FC14530"/>
    <w:rsid w:val="10A7257F"/>
    <w:rsid w:val="113868F6"/>
    <w:rsid w:val="11AC3ABF"/>
    <w:rsid w:val="13B03DF5"/>
    <w:rsid w:val="13BC1AF2"/>
    <w:rsid w:val="179320E3"/>
    <w:rsid w:val="17A40733"/>
    <w:rsid w:val="180A0780"/>
    <w:rsid w:val="18222D82"/>
    <w:rsid w:val="19D6619F"/>
    <w:rsid w:val="1A910543"/>
    <w:rsid w:val="1AA55A63"/>
    <w:rsid w:val="1B7202A9"/>
    <w:rsid w:val="1CB00A08"/>
    <w:rsid w:val="1D056BA7"/>
    <w:rsid w:val="1D1C7EF7"/>
    <w:rsid w:val="20E27B73"/>
    <w:rsid w:val="262872F1"/>
    <w:rsid w:val="271B0579"/>
    <w:rsid w:val="28C72906"/>
    <w:rsid w:val="2A1610CF"/>
    <w:rsid w:val="2C59717D"/>
    <w:rsid w:val="2C7929C0"/>
    <w:rsid w:val="2CCE604E"/>
    <w:rsid w:val="2FBB6FC4"/>
    <w:rsid w:val="35B36AE2"/>
    <w:rsid w:val="365807E8"/>
    <w:rsid w:val="365A7599"/>
    <w:rsid w:val="36EC373E"/>
    <w:rsid w:val="38490F18"/>
    <w:rsid w:val="39BD2A1C"/>
    <w:rsid w:val="39EF1D2D"/>
    <w:rsid w:val="3A021163"/>
    <w:rsid w:val="3A2E433E"/>
    <w:rsid w:val="3B5D6970"/>
    <w:rsid w:val="3E87253D"/>
    <w:rsid w:val="40346FD3"/>
    <w:rsid w:val="41430879"/>
    <w:rsid w:val="42875997"/>
    <w:rsid w:val="432522B0"/>
    <w:rsid w:val="438931CC"/>
    <w:rsid w:val="44124677"/>
    <w:rsid w:val="46233ED5"/>
    <w:rsid w:val="46E522D4"/>
    <w:rsid w:val="46FD1627"/>
    <w:rsid w:val="47AA03F6"/>
    <w:rsid w:val="4A9532A7"/>
    <w:rsid w:val="4CC67F1C"/>
    <w:rsid w:val="4D943CD4"/>
    <w:rsid w:val="4DCE527F"/>
    <w:rsid w:val="4E5A5688"/>
    <w:rsid w:val="4FB60719"/>
    <w:rsid w:val="4FD858A9"/>
    <w:rsid w:val="51A16539"/>
    <w:rsid w:val="56A67DFF"/>
    <w:rsid w:val="587421B6"/>
    <w:rsid w:val="58DD7B67"/>
    <w:rsid w:val="59BF3D83"/>
    <w:rsid w:val="5B3C1BAA"/>
    <w:rsid w:val="5BE10001"/>
    <w:rsid w:val="5BE56AFB"/>
    <w:rsid w:val="624520A2"/>
    <w:rsid w:val="645962D8"/>
    <w:rsid w:val="65F1904D"/>
    <w:rsid w:val="66386266"/>
    <w:rsid w:val="6724426A"/>
    <w:rsid w:val="67EB2E01"/>
    <w:rsid w:val="68804CC4"/>
    <w:rsid w:val="6B07A840"/>
    <w:rsid w:val="6B9B67B7"/>
    <w:rsid w:val="6BD95533"/>
    <w:rsid w:val="6C331E73"/>
    <w:rsid w:val="6CC94CD8"/>
    <w:rsid w:val="6CE1187F"/>
    <w:rsid w:val="70F90053"/>
    <w:rsid w:val="71222AE3"/>
    <w:rsid w:val="71874725"/>
    <w:rsid w:val="725D4060"/>
    <w:rsid w:val="73F97FBA"/>
    <w:rsid w:val="73FF97E5"/>
    <w:rsid w:val="756FED16"/>
    <w:rsid w:val="75CB9827"/>
    <w:rsid w:val="77A7F919"/>
    <w:rsid w:val="798F51BB"/>
    <w:rsid w:val="7A48544D"/>
    <w:rsid w:val="7AD974EC"/>
    <w:rsid w:val="7B1D0887"/>
    <w:rsid w:val="7BF00D74"/>
    <w:rsid w:val="7D864E17"/>
    <w:rsid w:val="7EBD75AB"/>
    <w:rsid w:val="7F0E4EC6"/>
    <w:rsid w:val="7FAF7754"/>
    <w:rsid w:val="9F6104AC"/>
    <w:rsid w:val="F3774884"/>
    <w:rsid w:val="FDFEFF79"/>
    <w:rsid w:val="FEF9264B"/>
    <w:rsid w:val="FF7F7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unhideWhenUsed/>
    <w:qFormat/>
    <w:uiPriority w:val="99"/>
    <w:rPr>
      <w:color w:val="954F72"/>
      <w:u w:val="single"/>
    </w:rPr>
  </w:style>
  <w:style w:type="character" w:styleId="8">
    <w:name w:val="Hyperlink"/>
    <w:basedOn w:val="6"/>
    <w:unhideWhenUsed/>
    <w:qFormat/>
    <w:uiPriority w:val="99"/>
    <w:rPr>
      <w:color w:val="0563C1"/>
      <w:u w:val="single"/>
    </w:r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页眉 字符"/>
    <w:basedOn w:val="6"/>
    <w:link w:val="3"/>
    <w:qFormat/>
    <w:uiPriority w:val="0"/>
    <w:rPr>
      <w:rFonts w:asciiTheme="minorHAnsi" w:hAnsiTheme="minorHAnsi" w:eastAsiaTheme="minorEastAsia" w:cstheme="minorBidi"/>
      <w:kern w:val="2"/>
      <w:sz w:val="18"/>
      <w:szCs w:val="18"/>
    </w:rPr>
  </w:style>
  <w:style w:type="character" w:customStyle="1" w:styleId="11">
    <w:name w:val="页脚 字符"/>
    <w:basedOn w:val="6"/>
    <w:link w:val="2"/>
    <w:qFormat/>
    <w:uiPriority w:val="0"/>
    <w:rPr>
      <w:rFonts w:asciiTheme="minorHAnsi" w:hAnsiTheme="minorHAnsi" w:eastAsiaTheme="minorEastAsia" w:cstheme="minorBidi"/>
      <w:kern w:val="2"/>
      <w:sz w:val="18"/>
      <w:szCs w:val="18"/>
    </w:rPr>
  </w:style>
  <w:style w:type="paragraph" w:customStyle="1" w:styleId="12">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5"/>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5">
    <w:name w:val="xl66"/>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1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24"/>
    </w:rPr>
  </w:style>
  <w:style w:type="paragraph" w:customStyle="1" w:styleId="1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277</Words>
  <Characters>1585</Characters>
  <Lines>13</Lines>
  <Paragraphs>3</Paragraphs>
  <TotalTime>48</TotalTime>
  <ScaleCrop>false</ScaleCrop>
  <LinksUpToDate>false</LinksUpToDate>
  <CharactersWithSpaces>1859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2022-07-01T07:06:00Z</dcterms:created>
  <dc:creator>Administrator</dc:creator>
  <cp:lastModifiedBy>thtf</cp:lastModifiedBy>
  <cp:lastPrinted>2024-12-20T13:28:32Z</cp:lastPrinted>
  <dcterms:modified xsi:type="dcterms:W3CDTF">2024-12-20T13:28:53Z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53C97A1265A44DC3BDB98E570E5674FA</vt:lpwstr>
  </property>
</Properties>
</file>