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val="en-US" w:eastAsia="zh-CN"/>
        </w:rPr>
        <w:t>泽普县</w:t>
      </w:r>
      <w:r>
        <w:rPr>
          <w:rFonts w:hint="eastAsia" w:ascii="方正小标宋_GBK" w:hAnsi="方正小标宋_GBK" w:eastAsia="方正小标宋_GBK" w:cs="方正小标宋_GBK"/>
          <w:sz w:val="44"/>
          <w:szCs w:val="44"/>
        </w:rPr>
        <w:t>市场监督管理局</w:t>
      </w:r>
      <w:bookmarkStart w:id="0" w:name="_Toc76683366"/>
      <w:r>
        <w:rPr>
          <w:rFonts w:hint="eastAsia" w:ascii="方正小标宋_GBK" w:hAnsi="方正小标宋_GBK" w:eastAsia="方正小标宋_GBK" w:cs="方正小标宋_GBK"/>
          <w:sz w:val="44"/>
          <w:szCs w:val="44"/>
        </w:rPr>
        <w:t>行政处罚决定书</w:t>
      </w:r>
      <w:bookmarkEnd w:id="0"/>
      <w:r>
        <w:rPr>
          <w:rFonts w:hint="eastAsia" w:ascii="方正小标宋_GBK" w:hAnsi="方正小标宋_GBK" w:eastAsia="方正小标宋_GBK" w:cs="方正小标宋_GBK"/>
          <w:sz w:val="44"/>
          <w:szCs w:val="44"/>
          <w:lang w:val="en-US" w:eastAsia="zh-CN"/>
        </w:rPr>
        <w:t>泽</w:t>
      </w:r>
      <w:r>
        <w:rPr>
          <w:rFonts w:hint="eastAsia" w:ascii="方正小标宋_GBK" w:hAnsi="方正小标宋_GBK" w:eastAsia="方正小标宋_GBK" w:cs="方正小标宋_GBK"/>
          <w:sz w:val="44"/>
          <w:szCs w:val="44"/>
        </w:rPr>
        <w:t>市监处罚〔</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41</w:t>
      </w:r>
      <w:r>
        <w:rPr>
          <w:rFonts w:hint="eastAsia" w:ascii="方正小标宋_GBK" w:hAnsi="方正小标宋_GBK" w:eastAsia="方正小标宋_GBK" w:cs="方正小标宋_GBK"/>
          <w:sz w:val="44"/>
          <w:szCs w:val="44"/>
        </w:rPr>
        <w:t>号的公告</w:t>
      </w:r>
    </w:p>
    <w:p>
      <w:pPr>
        <w:jc w:val="center"/>
        <w:rPr>
          <w:rFonts w:ascii="方正仿宋_GBK" w:hAnsi="方正仿宋_GBK" w:eastAsia="方正仿宋_GBK" w:cs="方正仿宋_GBK"/>
          <w:sz w:val="32"/>
          <w:szCs w:val="32"/>
        </w:rPr>
      </w:pPr>
    </w:p>
    <w:p>
      <w:pPr>
        <w:keepNext w:val="0"/>
        <w:keepLines w:val="0"/>
        <w:pageBreakBefore w:val="0"/>
        <w:tabs>
          <w:tab w:val="left" w:pos="3518"/>
        </w:tabs>
        <w:overflowPunct/>
        <w:topLinePunct w:val="0"/>
        <w:bidi w:val="0"/>
        <w:spacing w:line="168" w:lineRule="auto"/>
        <w:ind w:firstLine="1746"/>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u w:val="single"/>
          <w:lang w:val="en-US" w:eastAsia="zh-CN"/>
        </w:rPr>
        <w:t>泽普县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spacing w:line="204" w:lineRule="auto"/>
        <w:ind w:firstLine="2180" w:firstLineChars="500"/>
        <w:rPr>
          <w:rFonts w:hint="eastAsia" w:ascii="黑体" w:hAnsi="黑体" w:eastAsia="黑体" w:cs="黑体"/>
          <w:sz w:val="44"/>
          <w:szCs w:val="44"/>
        </w:rPr>
      </w:pPr>
      <w:r>
        <w:rPr>
          <w:rFonts w:hint="eastAsia" w:ascii="黑体" w:hAnsi="黑体" w:eastAsia="黑体" w:cs="黑体"/>
          <w:spacing w:val="-2"/>
          <w:sz w:val="44"/>
          <w:szCs w:val="44"/>
        </w:rPr>
        <w:t>行政处罚决定书</w:t>
      </w:r>
    </w:p>
    <w:p>
      <w:pPr>
        <w:keepNext w:val="0"/>
        <w:keepLines w:val="0"/>
        <w:pageBreakBefore w:val="0"/>
        <w:tabs>
          <w:tab w:val="left" w:pos="2725"/>
        </w:tabs>
        <w:overflowPunct/>
        <w:topLinePunct w:val="0"/>
        <w:bidi w:val="0"/>
        <w:spacing w:line="183" w:lineRule="auto"/>
        <w:ind w:firstLine="2219"/>
        <w:rPr>
          <w:rFonts w:ascii="仿宋" w:hAnsi="仿宋" w:eastAsia="仿宋" w:cs="仿宋"/>
          <w:sz w:val="32"/>
          <w:szCs w:val="32"/>
        </w:rPr>
      </w:pPr>
      <w:r>
        <w:rPr>
          <w:rFonts w:hint="eastAsia" w:ascii="仿宋" w:hAnsi="仿宋" w:eastAsia="仿宋" w:cs="仿宋"/>
          <w:spacing w:val="-7"/>
          <w:sz w:val="32"/>
          <w:szCs w:val="32"/>
          <w:u w:val="single"/>
          <w:lang w:val="en-US" w:eastAsia="zh-CN"/>
        </w:rPr>
        <w:t>泽</w:t>
      </w:r>
      <w:r>
        <w:rPr>
          <w:rFonts w:ascii="仿宋" w:hAnsi="仿宋" w:eastAsia="仿宋" w:cs="仿宋"/>
          <w:spacing w:val="-7"/>
          <w:sz w:val="32"/>
          <w:szCs w:val="32"/>
        </w:rPr>
        <w:t>市监</w:t>
      </w:r>
      <w:r>
        <w:rPr>
          <w:rFonts w:hint="eastAsia" w:ascii="Times New Roman" w:hAnsi="仿宋_GB2312" w:eastAsia="仿宋_GB2312" w:cs="仿宋_GB2312"/>
          <w:bCs/>
          <w:color w:val="auto"/>
          <w:sz w:val="32"/>
          <w:szCs w:val="32"/>
        </w:rPr>
        <w:t>不罚〔</w:t>
      </w:r>
      <w:r>
        <w:rPr>
          <w:rFonts w:hint="eastAsia" w:ascii="Times New Roman" w:hAnsi="Times New Roman" w:eastAsia="仿宋_GB2312" w:cs="仿宋_GB2312"/>
          <w:bCs/>
          <w:color w:val="auto"/>
          <w:sz w:val="32"/>
          <w:szCs w:val="32"/>
          <w:u w:val="single"/>
          <w:lang w:val="en-US" w:eastAsia="zh-CN"/>
        </w:rPr>
        <w:t>2023</w:t>
      </w:r>
      <w:r>
        <w:rPr>
          <w:rFonts w:hint="eastAsia" w:ascii="Times New Roman" w:hAnsi="仿宋_GB2312" w:eastAsia="仿宋_GB2312" w:cs="仿宋_GB2312"/>
          <w:bCs/>
          <w:color w:val="auto"/>
          <w:sz w:val="32"/>
          <w:szCs w:val="32"/>
        </w:rPr>
        <w:t>〕</w:t>
      </w:r>
      <w:r>
        <w:rPr>
          <w:rFonts w:hint="eastAsia" w:ascii="Times New Roman" w:hAnsi="Times New Roman" w:eastAsia="仿宋_GB2312" w:cs="仿宋_GB2312"/>
          <w:bCs/>
          <w:color w:val="auto"/>
          <w:sz w:val="32"/>
          <w:szCs w:val="32"/>
          <w:u w:val="single"/>
        </w:rPr>
        <w:t xml:space="preserve"> </w:t>
      </w:r>
      <w:r>
        <w:rPr>
          <w:rFonts w:hint="eastAsia" w:ascii="Times New Roman" w:hAnsi="Times New Roman" w:eastAsia="仿宋_GB2312" w:cs="仿宋_GB2312"/>
          <w:bCs/>
          <w:color w:val="auto"/>
          <w:sz w:val="32"/>
          <w:szCs w:val="32"/>
          <w:u w:val="single"/>
          <w:lang w:val="en-US" w:eastAsia="zh-CN"/>
        </w:rPr>
        <w:t>41</w:t>
      </w:r>
      <w:r>
        <w:rPr>
          <w:rFonts w:hint="eastAsia" w:ascii="Times New Roman" w:hAnsi="Times New Roman" w:eastAsia="仿宋_GB2312" w:cs="仿宋_GB2312"/>
          <w:bCs/>
          <w:color w:val="auto"/>
          <w:sz w:val="32"/>
          <w:szCs w:val="32"/>
          <w:u w:val="single"/>
        </w:rPr>
        <w:t xml:space="preserve">  </w:t>
      </w:r>
      <w:r>
        <w:rPr>
          <w:rFonts w:hint="eastAsia" w:ascii="Times New Roman" w:hAnsi="仿宋_GB2312" w:eastAsia="仿宋_GB2312" w:cs="仿宋_GB2312"/>
          <w:bCs/>
          <w:color w:val="auto"/>
          <w:sz w:val="32"/>
          <w:szCs w:val="32"/>
        </w:rPr>
        <w:t>号</w:t>
      </w:r>
    </w:p>
    <w:p>
      <w:pPr>
        <w:keepNext w:val="0"/>
        <w:keepLines w:val="0"/>
        <w:pageBreakBefore w:val="0"/>
        <w:overflowPunct/>
        <w:topLinePunct w:val="0"/>
        <w:bidi w:val="0"/>
        <w:spacing w:line="414" w:lineRule="auto"/>
        <w:rPr>
          <w:rFonts w:ascii="Microsoft JhengHei"/>
          <w:sz w:val="21"/>
          <w:u w:val="single"/>
        </w:rPr>
      </w:pPr>
    </w:p>
    <w:p>
      <w:pPr>
        <w:keepNext w:val="0"/>
        <w:keepLines w:val="0"/>
        <w:pageBreakBefore w:val="0"/>
        <w:overflowPunct/>
        <w:topLinePunct w:val="0"/>
        <w:bidi w:val="0"/>
        <w:spacing w:line="500" w:lineRule="exact"/>
        <w:ind w:left="35" w:right="16" w:firstLine="33"/>
        <w:rPr>
          <w:rFonts w:ascii="仿宋" w:hAnsi="仿宋" w:eastAsia="仿宋" w:cs="仿宋"/>
          <w:spacing w:val="21"/>
          <w:sz w:val="32"/>
          <w:szCs w:val="32"/>
        </w:rPr>
      </w:pPr>
      <w:bookmarkStart w:id="1" w:name="_GoBack"/>
      <w:r>
        <w:rPr>
          <w:rFonts w:ascii="仿宋" w:hAnsi="仿宋" w:eastAsia="仿宋" w:cs="仿宋"/>
          <w:spacing w:val="-28"/>
          <w:sz w:val="32"/>
          <w:szCs w:val="32"/>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1593215</wp:posOffset>
                </wp:positionV>
                <wp:extent cx="1857375" cy="9525"/>
                <wp:effectExtent l="0" t="0" r="0" b="0"/>
                <wp:wrapNone/>
                <wp:docPr id="3" name="直接连接符 3"/>
                <wp:cNvGraphicFramePr/>
                <a:graphic xmlns:a="http://schemas.openxmlformats.org/drawingml/2006/main">
                  <a:graphicData uri="http://schemas.microsoft.com/office/word/2010/wordprocessingShape">
                    <wps:wsp>
                      <wps:cNvCnPr/>
                      <wps:spPr>
                        <a:xfrm>
                          <a:off x="1137285" y="3914775"/>
                          <a:ext cx="1857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25.45pt;height:0.75pt;width:146.25pt;z-index:251660288;mso-width-relative:page;mso-height-relative:page;" filled="f" stroked="t" coordsize="21600,21600" o:gfxdata="UEsDBAoAAAAAAIdO4kAAAAAAAAAAAAAAAAAEAAAAZHJzL1BLAwQUAAAACACHTuJA4TncYNcAAAAJ&#10;AQAADwAAAGRycy9kb3ducmV2LnhtbE2PPU/DMBCGdyT+g3VIbNROgH6kcTogMSAhAYGhoxtf40B8&#10;DrabhH+PO8F497567rlyN9uejehD50hCthDAkBqnO2olfLw/3qyBhahIq94RSvjBALvq8qJUhXYT&#10;veFYx5YlCIVCSTAxDgXnoTFoVVi4ASllR+etimn0LddeTQlue54LseRWdZQuGDXgg8Hmqz7ZRKHV&#10;93Hu/f715dms6+kTn8YVSnl9lYktsIhz/CvDWT+pQ5WcDu5EOrBewmaZihLye7EBlvJbkWfADudN&#10;fge8Kvn/D6pfUEsDBBQAAAAIAIdO4kCgMhvb8wEAAMADAAAOAAAAZHJzL2Uyb0RvYy54bWytU82O&#10;0zAQviPxDpbvNG1Dtt2o6R62Wi4IKgEP4Dp2Ysl/8nib9iV4ASRucOLInbdheQzGTtnfyx7IwRmP&#10;x9/M9814dXEwmuxFAOVsQ2eTKSXCctcq2zX008erV0tKIDLbMu2saOhRAL1Yv3yxGnwt5q53uhWB&#10;IIiFevAN7WP0dVEA74VhMHFeWDyULhgWcRu6og1sQHSji/l0elYMLrQ+OC4A0LsZD+kJMTwH0Emp&#10;uNg4fm2EjSNqEJpFpAS98kDXuVopBY/vpQQRiW4oMo15xSRo79JarFes7gLzveKnEthzSnjEyTBl&#10;Mekt1IZFRq6DegJlFA8OnIwT7kwxEsmKIIvZ9JE2H3rmReaCUoO/FR3+Hyx/t98GotqGlpRYZrDh&#10;N19+/v787c+vr7je/PhOyiTS4KHG2Eu7Dacd+G1IjA8ymPRHLuSAAzUrF/NlRckRIc9nrxeLahRZ&#10;HCLhKWBZLUp0Eo4R59U8Hxd3OD5AfCOcIcloqFY2ScBqtn8LEXNj6L+Q5LbuSmmd26gtGRp6VlbY&#10;XM5wNCWOBJrGIz2wHSVMdzjzPIaMCE6rNt1OOBC63aUOZM/SpOQv1Y3ZHoSl1BsG/RiXj0Z6RkV8&#10;FlqZhi7v39YWQZJ6o17J2rn2mGXMfmxsTnMawjQ59/f59t3DW/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TncYNcAAAAJAQAADwAAAAAAAAABACAAAAAiAAAAZHJzL2Rvd25yZXYueG1sUEsBAhQA&#10;FAAAAAgAh07iQKAyG9vzAQAAwAMAAA4AAAAAAAAAAQAgAAAAJgEAAGRycy9lMm9Eb2MueG1sUEsF&#10;BgAAAAAGAAYAWQEAAIsFAAAAAA==&#10;">
                <v:fill on="f" focussize="0,0"/>
                <v:stroke weight="0.5pt" color="#000000 [3213]" miterlimit="8" joinstyle="miter"/>
                <v:imagedata o:title=""/>
                <o:lock v:ext="edit" aspectratio="f"/>
              </v:line>
            </w:pict>
          </mc:Fallback>
        </mc:AlternateContent>
      </w:r>
      <w:bookmarkEnd w:id="1"/>
      <w:r>
        <w:rPr>
          <w:rFonts w:hint="eastAsia" w:ascii="仿宋" w:hAnsi="仿宋" w:eastAsia="仿宋" w:cs="仿宋"/>
          <w:spacing w:val="-28"/>
          <w:sz w:val="32"/>
          <w:szCs w:val="32"/>
          <w:lang w:eastAsia="zh-CN"/>
        </w:rPr>
        <w:t>当事人</w:t>
      </w:r>
      <w:r>
        <w:rPr>
          <w:rFonts w:ascii="仿宋" w:hAnsi="仿宋" w:eastAsia="仿宋" w:cs="仿宋"/>
          <w:spacing w:val="-28"/>
          <w:w w:val="89"/>
          <w:sz w:val="32"/>
          <w:szCs w:val="32"/>
        </w:rPr>
        <w:t>：</w:t>
      </w:r>
      <w:r>
        <w:rPr>
          <w:rFonts w:ascii="仿宋" w:hAnsi="仿宋" w:eastAsia="仿宋" w:cs="仿宋"/>
          <w:sz w:val="32"/>
          <w:szCs w:val="32"/>
          <w:u w:val="single" w:color="auto"/>
        </w:rPr>
        <w:t xml:space="preserve">  </w:t>
      </w:r>
      <w:r>
        <w:rPr>
          <w:rFonts w:hint="eastAsia" w:ascii="仿宋" w:hAnsi="仿宋" w:eastAsia="仿宋" w:cs="仿宋"/>
          <w:color w:val="000000"/>
          <w:spacing w:val="3"/>
          <w:sz w:val="32"/>
          <w:szCs w:val="32"/>
          <w:highlight w:val="none"/>
          <w:u w:val="single" w:color="auto"/>
          <w:lang w:val="en-US" w:eastAsia="zh-CN"/>
        </w:rPr>
        <w:t>泽普县新山陆林超市</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color w:val="000000"/>
          <w:spacing w:val="3"/>
          <w:sz w:val="32"/>
          <w:szCs w:val="32"/>
          <w:highlight w:val="none"/>
          <w:u w:val="single" w:color="auto"/>
          <w:lang w:val="en-US" w:eastAsia="zh-CN"/>
        </w:rPr>
        <w:t>92653124MA77KMAY79</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ascii="仿宋" w:hAnsi="仿宋" w:eastAsia="仿宋" w:cs="仿宋"/>
          <w:spacing w:val="4"/>
          <w:sz w:val="32"/>
          <w:szCs w:val="32"/>
          <w:u w:val="none" w:color="auto"/>
        </w:rPr>
        <w:t>（</w:t>
      </w:r>
      <w:r>
        <w:rPr>
          <w:rFonts w:hint="eastAsia" w:ascii="仿宋" w:hAnsi="仿宋" w:eastAsia="仿宋" w:cs="仿宋"/>
          <w:spacing w:val="1"/>
          <w:sz w:val="32"/>
          <w:szCs w:val="32"/>
          <w:u w:val="none" w:color="auto"/>
          <w:lang w:val="en-US" w:eastAsia="zh-CN"/>
        </w:rPr>
        <w:t>住址）：</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color w:val="000000"/>
          <w:spacing w:val="3"/>
          <w:sz w:val="32"/>
          <w:szCs w:val="32"/>
          <w:highlight w:val="none"/>
          <w:u w:val="single" w:color="auto"/>
          <w:lang w:val="en-US" w:eastAsia="zh-CN"/>
        </w:rPr>
        <w:t>新疆喀什地区泽普县山陆林市场一层</w:t>
      </w:r>
      <w:r>
        <w:rPr>
          <w:rFonts w:hint="eastAsia" w:ascii="仿宋" w:hAnsi="仿宋" w:eastAsia="仿宋" w:cs="仿宋"/>
          <w:color w:val="000000"/>
          <w:sz w:val="32"/>
          <w:szCs w:val="32"/>
          <w:highlight w:val="none"/>
          <w:u w:val="single"/>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w:t>
      </w:r>
      <w:r>
        <w:rPr>
          <w:rFonts w:ascii="仿宋" w:hAnsi="仿宋" w:eastAsia="仿宋" w:cs="仿宋"/>
          <w:sz w:val="32"/>
          <w:szCs w:val="32"/>
          <w:u w:val="none" w:color="auto"/>
        </w:rPr>
        <w:t>经</w:t>
      </w:r>
      <w:r>
        <w:rPr>
          <w:rFonts w:hint="eastAsia" w:ascii="仿宋" w:hAnsi="仿宋" w:eastAsia="仿宋" w:cs="仿宋"/>
          <w:spacing w:val="1"/>
          <w:sz w:val="32"/>
          <w:szCs w:val="32"/>
          <w:u w:val="none" w:color="auto"/>
          <w:lang w:val="en-US" w:eastAsia="zh-CN"/>
        </w:rPr>
        <w:t>营者）：</w:t>
      </w:r>
      <w:r>
        <w:rPr>
          <w:rFonts w:hint="eastAsia" w:ascii="仿宋" w:hAnsi="仿宋" w:eastAsia="仿宋" w:cs="仿宋"/>
          <w:color w:val="000000"/>
          <w:spacing w:val="3"/>
          <w:sz w:val="32"/>
          <w:szCs w:val="32"/>
          <w:highlight w:val="none"/>
          <w:u w:val="single" w:color="auto"/>
          <w:lang w:val="en-US" w:eastAsia="zh-CN"/>
        </w:rPr>
        <w:t>靖晓兰</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p>
    <w:p>
      <w:pPr>
        <w:keepNext w:val="0"/>
        <w:keepLines w:val="0"/>
        <w:pageBreakBefore w:val="0"/>
        <w:overflowPunct/>
        <w:topLinePunct w:val="0"/>
        <w:bidi w:val="0"/>
        <w:spacing w:line="500" w:lineRule="exact"/>
        <w:ind w:left="35" w:right="16" w:firstLine="33"/>
        <w:rPr>
          <w:rFonts w:ascii="Microsoft JhengHei"/>
          <w:sz w:val="32"/>
          <w:szCs w:val="32"/>
        </w:rPr>
      </w:pPr>
      <w:r>
        <w:rPr>
          <w:rFonts w:ascii="仿宋" w:hAnsi="仿宋" w:eastAsia="仿宋" w:cs="仿宋"/>
          <w:spacing w:val="-31"/>
          <w:w w:val="98"/>
          <w:sz w:val="32"/>
          <w:szCs w:val="32"/>
        </w:rPr>
        <w:t>身份</w:t>
      </w:r>
      <w:r>
        <w:rPr>
          <w:rFonts w:ascii="仿宋" w:hAnsi="仿宋" w:eastAsia="仿宋" w:cs="仿宋"/>
          <w:spacing w:val="-31"/>
          <w:w w:val="98"/>
          <w:sz w:val="32"/>
          <w:szCs w:val="32"/>
          <w:u w:val="none" w:color="auto"/>
        </w:rPr>
        <w:t>证</w:t>
      </w:r>
      <w:r>
        <w:rPr>
          <w:rFonts w:hint="eastAsia" w:ascii="仿宋" w:hAnsi="仿宋" w:eastAsia="仿宋" w:cs="仿宋"/>
          <w:spacing w:val="1"/>
          <w:sz w:val="32"/>
          <w:szCs w:val="32"/>
          <w:u w:val="none" w:color="auto"/>
          <w:lang w:val="en-US" w:eastAsia="zh-CN"/>
        </w:rPr>
        <w:t>件号码：</w:t>
      </w:r>
      <w:r>
        <w:rPr>
          <w:rFonts w:hint="eastAsia" w:ascii="Times New Roman" w:hAnsi="Times New Roman" w:eastAsia="仿宋_GB2312" w:cs="Mongolian Baiti"/>
          <w:color w:val="auto"/>
          <w:kern w:val="1"/>
          <w:sz w:val="32"/>
          <w:szCs w:val="32"/>
          <w:u w:val="single"/>
          <w:lang w:val="en-US" w:eastAsia="zh-CN"/>
        </w:rPr>
        <w:t>653101197603161223</w:t>
      </w:r>
      <w:r>
        <w:rPr>
          <w:rFonts w:ascii="仿宋" w:hAnsi="仿宋" w:eastAsia="仿宋" w:cs="仿宋"/>
          <w:sz w:val="32"/>
          <w:szCs w:val="32"/>
          <w:u w:val="single" w:color="auto"/>
        </w:rPr>
        <w:t xml:space="preserve">                                     </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single"/>
          <w:lang w:val="en-US" w:eastAsia="zh-CN"/>
        </w:rPr>
        <w:t>1.2023年8月26日，新疆维吾尔自治区市场监督管理局委托新疆维吾尔自治区产品质量监督检验研究院对泽普县新山陆林超市销售的青稞醋进行抽样检测。2023年9月28日我局收到新疆维吾尔自治区产品质量监督检验研究院出具的编号为：NO：2023X-J-SP26323的检验报告，检验结果显示总酸（以乙酸计），不挥发酸（以乳酸计）项目不符合GB/T18187-2000《酿造食醋》要求，检验结论为不合格。检验结果中总酸（以乙酸计），g/100ml标准指标</w:t>
      </w:r>
      <w:r>
        <w:rPr>
          <w:rFonts w:hint="default" w:ascii="仿宋" w:hAnsi="仿宋" w:eastAsia="仿宋" w:cs="仿宋"/>
          <w:sz w:val="32"/>
          <w:szCs w:val="32"/>
          <w:u w:val="single"/>
          <w:lang w:val="en-US" w:eastAsia="zh-CN"/>
        </w:rPr>
        <w:t>≥</w:t>
      </w:r>
      <w:r>
        <w:rPr>
          <w:rFonts w:hint="eastAsia" w:ascii="仿宋" w:hAnsi="仿宋" w:eastAsia="仿宋" w:cs="仿宋"/>
          <w:sz w:val="32"/>
          <w:szCs w:val="32"/>
          <w:u w:val="single"/>
          <w:lang w:val="en-US" w:eastAsia="zh-CN"/>
        </w:rPr>
        <w:t>3.50，实测值为3.24；不挥发酸（以乳酸计），g/100ml标准指标</w:t>
      </w:r>
      <w:r>
        <w:rPr>
          <w:rFonts w:hint="default" w:ascii="仿宋" w:hAnsi="仿宋" w:eastAsia="仿宋" w:cs="仿宋"/>
          <w:sz w:val="32"/>
          <w:szCs w:val="32"/>
          <w:u w:val="single"/>
          <w:lang w:val="en-US" w:eastAsia="zh-CN"/>
        </w:rPr>
        <w:t>≥</w:t>
      </w:r>
      <w:r>
        <w:rPr>
          <w:rFonts w:hint="eastAsia" w:ascii="仿宋" w:hAnsi="仿宋" w:eastAsia="仿宋" w:cs="仿宋"/>
          <w:sz w:val="32"/>
          <w:szCs w:val="32"/>
          <w:u w:val="single"/>
          <w:lang w:val="en-US" w:eastAsia="zh-CN"/>
        </w:rPr>
        <w:t>0.50，实测值为0.21。经向当事人送达食品安全抽样检验结果通知书和检验报告（编号为：NO：2023X-J-SP26323，同时一并告知了当事人享有的权利及复检的时限，当事人靖晓兰签收了检验报告书及通知书，对抽检结果无异议。</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highlight w:val="none"/>
          <w:u w:val="single"/>
          <w:lang w:val="en-US" w:eastAsia="zh-CN"/>
        </w:rPr>
        <w:t>2.</w:t>
      </w:r>
      <w:r>
        <w:rPr>
          <w:rFonts w:hint="eastAsia" w:ascii="仿宋" w:hAnsi="仿宋" w:eastAsia="仿宋" w:cs="仿宋"/>
          <w:color w:val="auto"/>
          <w:sz w:val="32"/>
          <w:szCs w:val="32"/>
          <w:highlight w:val="none"/>
          <w:u w:val="single"/>
          <w:lang w:val="en-US" w:eastAsia="zh-CN"/>
        </w:rPr>
        <w:t>2023年10月5日经现</w:t>
      </w:r>
      <w:r>
        <w:rPr>
          <w:rFonts w:hint="eastAsia" w:ascii="仿宋" w:hAnsi="仿宋" w:eastAsia="仿宋" w:cs="仿宋"/>
          <w:sz w:val="32"/>
          <w:szCs w:val="32"/>
          <w:highlight w:val="none"/>
          <w:u w:val="single"/>
          <w:lang w:val="en-US" w:eastAsia="zh-CN"/>
        </w:rPr>
        <w:t>场检查发现，现场查看泽普县新山陆林超市的采购收货单（业务日期为2023-08-09，单号PI002308095650）,在收货单上显示</w:t>
      </w:r>
      <w:r>
        <w:rPr>
          <w:rFonts w:hint="eastAsia" w:ascii="仿宋" w:hAnsi="仿宋" w:eastAsia="仿宋" w:cs="仿宋"/>
          <w:color w:val="auto"/>
          <w:sz w:val="32"/>
          <w:szCs w:val="32"/>
          <w:highlight w:val="none"/>
          <w:u w:val="single"/>
          <w:lang w:val="en-US" w:eastAsia="zh-CN"/>
        </w:rPr>
        <w:t>涉案</w:t>
      </w:r>
      <w:r>
        <w:rPr>
          <w:rFonts w:hint="eastAsia" w:ascii="仿宋" w:hAnsi="仿宋" w:eastAsia="仿宋" w:cs="仿宋"/>
          <w:sz w:val="32"/>
          <w:szCs w:val="32"/>
          <w:u w:val="single"/>
          <w:lang w:val="en-US" w:eastAsia="zh-CN"/>
        </w:rPr>
        <w:t>青稞醋，供应商</w:t>
      </w:r>
      <w:r>
        <w:rPr>
          <w:rFonts w:hint="eastAsia" w:ascii="仿宋" w:hAnsi="仿宋" w:eastAsia="仿宋" w:cs="仿宋"/>
          <w:color w:val="auto"/>
          <w:sz w:val="32"/>
          <w:szCs w:val="32"/>
          <w:highlight w:val="none"/>
          <w:u w:val="single"/>
          <w:lang w:val="en-US" w:eastAsia="zh-CN"/>
        </w:rPr>
        <w:t>泽普县艾福提哈尔商贸中心，购进数量24瓶，零售价5元/瓶，库存7瓶，进价4元/瓶，总购进额96元。经询问，当事人陈述涉案</w:t>
      </w:r>
      <w:r>
        <w:rPr>
          <w:rFonts w:hint="eastAsia" w:ascii="仿宋" w:hAnsi="仿宋" w:eastAsia="仿宋" w:cs="仿宋"/>
          <w:color w:val="auto"/>
          <w:sz w:val="32"/>
          <w:szCs w:val="32"/>
          <w:u w:val="single"/>
          <w:lang w:val="en-US" w:eastAsia="zh-CN"/>
        </w:rPr>
        <w:t>青稞醋</w:t>
      </w:r>
      <w:r>
        <w:rPr>
          <w:rFonts w:hint="eastAsia" w:ascii="仿宋" w:hAnsi="仿宋" w:eastAsia="仿宋" w:cs="仿宋"/>
          <w:color w:val="auto"/>
          <w:sz w:val="32"/>
          <w:szCs w:val="32"/>
          <w:highlight w:val="none"/>
          <w:u w:val="single"/>
          <w:lang w:val="en-US" w:eastAsia="zh-CN"/>
        </w:rPr>
        <w:t>是2023年8月9日从泽普县艾福提哈尔商贸中心购进的，购进数量为：24瓶，进货价每瓶/4.0元，零售价是每瓶/5.0元，购进总金额：96元。当事人的陈述与现场检查发现情况一致。2023年8月26日，</w:t>
      </w:r>
      <w:r>
        <w:rPr>
          <w:rFonts w:hint="eastAsia" w:ascii="仿宋" w:hAnsi="仿宋" w:eastAsia="仿宋" w:cs="仿宋"/>
          <w:sz w:val="32"/>
          <w:szCs w:val="32"/>
          <w:u w:val="single"/>
          <w:lang w:val="en-US" w:eastAsia="zh-CN"/>
        </w:rPr>
        <w:t>新疆维吾尔自治区产品质量监督检</w:t>
      </w:r>
      <w:r>
        <w:rPr>
          <w:rFonts w:hint="eastAsia" w:ascii="仿宋" w:hAnsi="仿宋" w:eastAsia="仿宋" w:cs="仿宋"/>
          <w:color w:val="auto"/>
          <w:sz w:val="32"/>
          <w:szCs w:val="32"/>
          <w:highlight w:val="none"/>
          <w:u w:val="single"/>
          <w:lang w:val="en-US" w:eastAsia="zh-CN"/>
        </w:rPr>
        <w:t>验研究院抽检青稞醋购买了8瓶，共计40.0元，9瓶青稞醋已销售完毕，销售总额45元。库存青稞醋7瓶，执法人员依据《中华人民共和国食品安全法》第一百一十条第一款第四项的规定，采取了扣押行政强制措施 。当事人提供了该批次青稞醋的进货单、供货商的营业执照、该批次青稞醋的出厂检验报告单。</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执法人员于2023年</w:t>
      </w:r>
      <w:r>
        <w:rPr>
          <w:rFonts w:hint="eastAsia" w:ascii="仿宋" w:hAnsi="仿宋" w:eastAsia="仿宋" w:cs="仿宋"/>
          <w:color w:val="auto"/>
          <w:sz w:val="32"/>
          <w:szCs w:val="32"/>
          <w:highlight w:val="none"/>
          <w:u w:val="single"/>
          <w:lang w:val="en-US" w:eastAsia="zh-CN"/>
        </w:rPr>
        <w:t>10月5日进行了案源登记，2023年10月13日经局领导批准开展</w:t>
      </w:r>
      <w:r>
        <w:rPr>
          <w:rFonts w:hint="eastAsia" w:ascii="仿宋" w:hAnsi="仿宋" w:eastAsia="仿宋" w:cs="仿宋"/>
          <w:sz w:val="32"/>
          <w:szCs w:val="32"/>
          <w:highlight w:val="none"/>
          <w:u w:val="single"/>
          <w:lang w:val="en-US" w:eastAsia="zh-CN"/>
        </w:rPr>
        <w:t>立案调查。</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pacing w:val="1"/>
          <w:sz w:val="32"/>
          <w:szCs w:val="32"/>
          <w:u w:val="none"/>
          <w:lang w:val="en-US" w:eastAsia="zh-CN"/>
        </w:rPr>
        <w:t>经查，</w:t>
      </w:r>
      <w:r>
        <w:rPr>
          <w:rFonts w:hint="eastAsia" w:ascii="仿宋" w:hAnsi="仿宋" w:eastAsia="仿宋" w:cs="仿宋"/>
          <w:sz w:val="32"/>
          <w:szCs w:val="32"/>
          <w:u w:val="single"/>
          <w:lang w:val="en-US" w:eastAsia="zh-CN"/>
        </w:rPr>
        <w:t>1.根据新疆维吾尔自治区产品质量监督检验研究院出具的编号为：NO：2023X-J-SP26323的检验报告，检验结果显示总酸（以乙酸计），不挥发酸（以乳酸计）项目不符合GB/T18187-2000《酿造食醋》要求，检验结论为不合格，当事人收到检验报告之日起七个工作日内未提出复检，办案人员认定当事人的行为</w:t>
      </w:r>
      <w:r>
        <w:rPr>
          <w:rFonts w:hint="eastAsia" w:ascii="仿宋" w:hAnsi="仿宋" w:eastAsia="仿宋" w:cs="仿宋"/>
          <w:bCs/>
          <w:sz w:val="32"/>
          <w:szCs w:val="32"/>
          <w:u w:val="single"/>
        </w:rPr>
        <w:t>涉嫌</w:t>
      </w:r>
      <w:r>
        <w:rPr>
          <w:rFonts w:hint="eastAsia" w:ascii="仿宋" w:hAnsi="仿宋" w:eastAsia="仿宋" w:cs="仿宋"/>
          <w:bCs/>
          <w:sz w:val="32"/>
          <w:szCs w:val="32"/>
          <w:u w:val="single"/>
          <w:lang w:val="en-US" w:eastAsia="zh-CN"/>
        </w:rPr>
        <w:t>经营不符合食品安全标准限量的食品（青稞醋）</w:t>
      </w:r>
      <w:r>
        <w:rPr>
          <w:rFonts w:hint="eastAsia" w:ascii="仿宋" w:hAnsi="仿宋" w:eastAsia="仿宋" w:cs="仿宋"/>
          <w:sz w:val="32"/>
          <w:szCs w:val="32"/>
          <w:u w:val="single"/>
          <w:lang w:val="en-US"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2.当事人于2023年8月9日购进青稞醋，共24瓶，进货价每瓶/4.0元，零售价是每瓶/5.0元，上述涉案青稞醋货值金额为5元/每瓶*24瓶=120元，办案人员认定当事人销售涉案青稞醋的违法所得为5元/瓶*17=85元</w:t>
      </w:r>
      <w:r>
        <w:rPr>
          <w:rFonts w:hint="eastAsia" w:ascii="仿宋" w:hAnsi="仿宋" w:eastAsia="仿宋" w:cs="仿宋"/>
          <w:color w:val="auto"/>
          <w:sz w:val="32"/>
          <w:szCs w:val="32"/>
          <w:u w:val="single"/>
          <w:lang w:val="en-US" w:eastAsia="zh-CN"/>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仿宋" w:hAnsi="仿宋" w:eastAsia="仿宋" w:cs="仿宋"/>
          <w:spacing w:val="1"/>
          <w:sz w:val="32"/>
          <w:szCs w:val="32"/>
          <w:u w:val="single"/>
          <w:lang w:val="en-US" w:eastAsia="zh-CN"/>
        </w:rPr>
      </w:pPr>
      <w:r>
        <w:rPr>
          <w:rFonts w:hint="eastAsia" w:ascii="仿宋" w:hAnsi="仿宋" w:eastAsia="仿宋" w:cs="仿宋"/>
          <w:spacing w:val="1"/>
          <w:sz w:val="32"/>
          <w:szCs w:val="32"/>
          <w:u w:val="none"/>
          <w:lang w:val="en-US" w:eastAsia="zh-CN"/>
        </w:rPr>
        <w:t>上述事实，主要有以下证据证明：</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pacing w:val="0"/>
          <w:kern w:val="0"/>
          <w:sz w:val="32"/>
          <w:szCs w:val="32"/>
          <w:u w:val="single"/>
          <w:lang w:val="en-US" w:eastAsia="zh-CN"/>
        </w:rPr>
        <w:t>1.</w:t>
      </w:r>
      <w:r>
        <w:rPr>
          <w:rFonts w:hint="eastAsia" w:ascii="仿宋" w:hAnsi="仿宋" w:eastAsia="仿宋" w:cs="仿宋"/>
          <w:sz w:val="32"/>
          <w:szCs w:val="32"/>
          <w:u w:val="single"/>
          <w:lang w:eastAsia="zh-CN"/>
        </w:rPr>
        <w:t>《营业执照》复印件</w:t>
      </w:r>
      <w:r>
        <w:rPr>
          <w:rFonts w:hint="eastAsia" w:ascii="仿宋" w:hAnsi="仿宋" w:eastAsia="仿宋" w:cs="仿宋"/>
          <w:sz w:val="32"/>
          <w:szCs w:val="32"/>
          <w:u w:val="single"/>
          <w:lang w:val="en-US" w:eastAsia="zh-CN"/>
        </w:rPr>
        <w:t>1份及经营者靖晓兰《居民身份证》正反面复印件1份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single"/>
        </w:rPr>
        <w:t>2.</w:t>
      </w:r>
      <w:r>
        <w:rPr>
          <w:rFonts w:hint="eastAsia" w:ascii="仿宋" w:hAnsi="仿宋" w:eastAsia="仿宋" w:cs="仿宋"/>
          <w:sz w:val="32"/>
          <w:szCs w:val="32"/>
          <w:highlight w:val="none"/>
          <w:u w:val="single"/>
          <w:lang w:eastAsia="zh-CN"/>
        </w:rPr>
        <w:t>食品安全抽样检验抽样单</w:t>
      </w:r>
      <w:r>
        <w:rPr>
          <w:rFonts w:hint="eastAsia" w:ascii="仿宋" w:hAnsi="仿宋" w:eastAsia="仿宋" w:cs="仿宋"/>
          <w:sz w:val="32"/>
          <w:szCs w:val="32"/>
          <w:highlight w:val="none"/>
          <w:u w:val="single"/>
          <w:lang w:val="en-US" w:eastAsia="zh-CN"/>
        </w:rPr>
        <w:t>1份</w:t>
      </w:r>
      <w:r>
        <w:rPr>
          <w:rFonts w:hint="eastAsia" w:ascii="仿宋" w:hAnsi="仿宋" w:eastAsia="仿宋" w:cs="仿宋"/>
          <w:sz w:val="32"/>
          <w:szCs w:val="32"/>
          <w:highlight w:val="none"/>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3.《泽普县市场监督管理局现场笔录》1份。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4.《检验报告》（编号为：NO：2023X-J-SP26323）1份。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5.《泽普县市场监督管理局不合格食品检验报告送达回执》2份。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6.《泽普县市场监督管理局询问笔录》1份。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师奇学</w:t>
      </w:r>
      <w:r>
        <w:rPr>
          <w:rFonts w:hint="eastAsia" w:ascii="仿宋" w:hAnsi="仿宋" w:eastAsia="仿宋" w:cs="仿宋"/>
          <w:sz w:val="32"/>
          <w:szCs w:val="32"/>
          <w:u w:val="single"/>
          <w:lang w:val="en-US" w:eastAsia="zh-CN"/>
        </w:rPr>
        <w:t>《居民身份证》复印件1份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8</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授权委托书一份。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供货商营业执照和食品经营许可证</w:t>
      </w:r>
      <w:r>
        <w:rPr>
          <w:rFonts w:hint="eastAsia" w:ascii="仿宋" w:hAnsi="仿宋" w:eastAsia="仿宋" w:cs="仿宋"/>
          <w:sz w:val="32"/>
          <w:szCs w:val="32"/>
          <w:u w:val="single"/>
          <w:lang w:val="en-US" w:eastAsia="zh-CN"/>
        </w:rPr>
        <w:t>复印件</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10</w:t>
      </w:r>
      <w:r>
        <w:rPr>
          <w:rFonts w:hint="eastAsia" w:ascii="仿宋" w:hAnsi="仿宋" w:eastAsia="仿宋" w:cs="仿宋"/>
          <w:sz w:val="32"/>
          <w:szCs w:val="32"/>
          <w:u w:val="single"/>
        </w:rPr>
        <w:t>.</w:t>
      </w:r>
      <w:r>
        <w:rPr>
          <w:rFonts w:hint="eastAsia" w:ascii="仿宋" w:hAnsi="仿宋" w:eastAsia="仿宋" w:cs="仿宋"/>
          <w:sz w:val="32"/>
          <w:szCs w:val="32"/>
          <w:highlight w:val="none"/>
          <w:u w:val="single"/>
          <w:lang w:val="en-US" w:eastAsia="zh-CN"/>
        </w:rPr>
        <w:t>采购收货单</w:t>
      </w:r>
      <w:r>
        <w:rPr>
          <w:rFonts w:hint="eastAsia" w:ascii="仿宋" w:hAnsi="仿宋" w:eastAsia="仿宋" w:cs="仿宋"/>
          <w:sz w:val="32"/>
          <w:szCs w:val="32"/>
          <w:u w:val="single"/>
          <w:lang w:eastAsia="zh-CN"/>
        </w:rPr>
        <w:t>及该批次青稞醋的</w:t>
      </w:r>
      <w:r>
        <w:rPr>
          <w:rFonts w:hint="eastAsia" w:ascii="仿宋" w:hAnsi="仿宋" w:eastAsia="仿宋" w:cs="仿宋"/>
          <w:sz w:val="32"/>
          <w:szCs w:val="32"/>
          <w:u w:val="single"/>
          <w:lang w:val="en-US" w:eastAsia="zh-CN"/>
        </w:rPr>
        <w:t>出厂检验报告单，生产商的营业执照，食品生产许可证</w:t>
      </w:r>
      <w:r>
        <w:rPr>
          <w:rFonts w:hint="eastAsia" w:ascii="仿宋" w:hAnsi="仿宋" w:eastAsia="仿宋" w:cs="仿宋"/>
          <w:sz w:val="32"/>
          <w:szCs w:val="32"/>
          <w:u w:val="single"/>
          <w:lang w:eastAsia="zh-CN"/>
        </w:rPr>
        <w:t>。</w:t>
      </w:r>
    </w:p>
    <w:p>
      <w:pPr>
        <w:spacing w:line="520" w:lineRule="exact"/>
        <w:ind w:firstLine="640" w:firstLineChars="200"/>
        <w:rPr>
          <w:rFonts w:hint="eastAsia" w:ascii="仿宋" w:hAnsi="仿宋" w:eastAsia="仿宋" w:cs="仿宋"/>
          <w:spacing w:val="0"/>
          <w:kern w:val="0"/>
          <w:sz w:val="32"/>
          <w:szCs w:val="32"/>
          <w:u w:val="single"/>
          <w:lang w:val="en-US" w:eastAsia="zh-CN"/>
        </w:rPr>
      </w:pPr>
      <w:r>
        <w:rPr>
          <w:rFonts w:hint="eastAsia" w:ascii="仿宋" w:hAnsi="仿宋" w:eastAsia="仿宋" w:cs="仿宋"/>
          <w:sz w:val="32"/>
          <w:szCs w:val="32"/>
          <w:u w:val="single"/>
          <w:lang w:val="en-US" w:eastAsia="zh-CN"/>
        </w:rPr>
        <w:t>11.</w:t>
      </w:r>
      <w:r>
        <w:rPr>
          <w:rFonts w:hint="eastAsia" w:ascii="仿宋" w:hAnsi="仿宋" w:eastAsia="仿宋" w:cs="仿宋"/>
          <w:color w:val="auto"/>
          <w:sz w:val="32"/>
          <w:szCs w:val="32"/>
          <w:u w:val="single"/>
          <w:lang w:val="en-US" w:eastAsia="zh-CN"/>
        </w:rPr>
        <w:t>整改报告1份。</w:t>
      </w:r>
    </w:p>
    <w:p>
      <w:pPr>
        <w:keepNext w:val="0"/>
        <w:keepLines w:val="0"/>
        <w:pageBreakBefore w:val="0"/>
        <w:overflowPunct/>
        <w:topLinePunct w:val="0"/>
        <w:bidi w:val="0"/>
        <w:spacing w:line="500" w:lineRule="exact"/>
        <w:ind w:firstLine="655"/>
        <w:rPr>
          <w:rFonts w:hint="eastAsia" w:ascii="仿宋" w:hAnsi="仿宋" w:eastAsia="仿宋" w:cs="仿宋"/>
          <w:spacing w:val="-3"/>
          <w:sz w:val="32"/>
          <w:szCs w:val="32"/>
          <w:u w:val="single"/>
          <w:lang w:val="en-US" w:eastAsia="zh-CN"/>
        </w:rPr>
      </w:pPr>
      <w:r>
        <w:rPr>
          <w:rFonts w:hint="eastAsia" w:ascii="仿宋" w:hAnsi="仿宋" w:eastAsia="仿宋" w:cs="仿宋"/>
          <w:spacing w:val="-3"/>
          <w:sz w:val="32"/>
          <w:szCs w:val="32"/>
          <w:u w:val="single"/>
          <w:lang w:val="en-US" w:eastAsia="zh-CN"/>
        </w:rPr>
        <w:t>2023年</w:t>
      </w:r>
      <w:r>
        <w:rPr>
          <w:rFonts w:hint="eastAsia" w:ascii="仿宋" w:hAnsi="仿宋" w:eastAsia="仿宋" w:cs="仿宋"/>
          <w:color w:val="auto"/>
          <w:spacing w:val="-3"/>
          <w:sz w:val="32"/>
          <w:szCs w:val="32"/>
          <w:u w:val="single"/>
          <w:lang w:val="en-US" w:eastAsia="zh-CN"/>
        </w:rPr>
        <w:t>12月14日，本局依法向</w:t>
      </w:r>
      <w:r>
        <w:rPr>
          <w:rFonts w:hint="eastAsia" w:ascii="仿宋" w:hAnsi="仿宋" w:eastAsia="仿宋" w:cs="仿宋"/>
          <w:color w:val="auto"/>
          <w:spacing w:val="-3"/>
          <w:sz w:val="32"/>
          <w:szCs w:val="32"/>
          <w:u w:val="single"/>
          <w:lang w:val="zh-CN" w:eastAsia="zh-CN"/>
        </w:rPr>
        <w:t>当事人</w:t>
      </w:r>
      <w:r>
        <w:rPr>
          <w:rFonts w:hint="eastAsia" w:ascii="仿宋" w:hAnsi="仿宋" w:eastAsia="仿宋" w:cs="仿宋"/>
          <w:color w:val="auto"/>
          <w:spacing w:val="-3"/>
          <w:sz w:val="32"/>
          <w:szCs w:val="32"/>
          <w:u w:val="single"/>
          <w:lang w:val="en-US" w:eastAsia="zh-CN"/>
        </w:rPr>
        <w:t>送达了泽市监罚告〔2023〕44号</w:t>
      </w:r>
      <w:r>
        <w:rPr>
          <w:rFonts w:hint="eastAsia" w:ascii="仿宋" w:hAnsi="仿宋" w:eastAsia="仿宋" w:cs="仿宋"/>
          <w:spacing w:val="-3"/>
          <w:sz w:val="32"/>
          <w:szCs w:val="32"/>
          <w:u w:val="single"/>
          <w:lang w:val="en-US" w:eastAsia="zh-CN"/>
        </w:rPr>
        <w:t>《泽普县市场监督管理局行政处罚告知书》，</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在五个工作日内未提出陈述、申辩。</w:t>
      </w:r>
    </w:p>
    <w:p>
      <w:pPr>
        <w:keepNext w:val="0"/>
        <w:keepLines w:val="0"/>
        <w:pageBreakBefore w:val="0"/>
        <w:overflowPunct/>
        <w:topLinePunct w:val="0"/>
        <w:bidi w:val="0"/>
        <w:spacing w:line="500" w:lineRule="exact"/>
        <w:ind w:firstLine="655"/>
        <w:rPr>
          <w:rFonts w:hint="eastAsia" w:ascii="仿宋" w:hAnsi="仿宋" w:eastAsia="仿宋" w:cs="仿宋"/>
          <w:spacing w:val="4"/>
          <w:sz w:val="32"/>
          <w:szCs w:val="32"/>
          <w:u w:val="single" w:color="auto"/>
          <w:lang w:val="en-US" w:eastAsia="zh-CN"/>
        </w:rPr>
      </w:pPr>
      <w:r>
        <w:rPr>
          <w:rFonts w:hint="eastAsia" w:ascii="仿宋" w:hAnsi="仿宋" w:eastAsia="仿宋" w:cs="仿宋"/>
          <w:spacing w:val="-3"/>
          <w:sz w:val="32"/>
          <w:szCs w:val="32"/>
        </w:rPr>
        <w:t>本局认为</w:t>
      </w:r>
      <w:r>
        <w:rPr>
          <w:rFonts w:hint="eastAsia" w:ascii="仿宋" w:hAnsi="仿宋" w:eastAsia="仿宋" w:cs="仿宋"/>
          <w:spacing w:val="-41"/>
          <w:sz w:val="32"/>
          <w:szCs w:val="32"/>
        </w:rPr>
        <w:t>，</w:t>
      </w:r>
      <w:r>
        <w:rPr>
          <w:rFonts w:hint="eastAsia" w:ascii="仿宋" w:hAnsi="仿宋" w:eastAsia="仿宋" w:cs="仿宋"/>
          <w:sz w:val="32"/>
          <w:szCs w:val="32"/>
          <w:u w:val="single"/>
          <w:lang w:eastAsia="zh-CN"/>
        </w:rPr>
        <w:t>当事人的行为</w:t>
      </w:r>
      <w:r>
        <w:rPr>
          <w:rFonts w:hint="eastAsia" w:ascii="仿宋" w:hAnsi="仿宋" w:eastAsia="仿宋" w:cs="仿宋"/>
          <w:sz w:val="32"/>
          <w:szCs w:val="32"/>
          <w:u w:val="single"/>
          <w:lang w:val="en-US" w:eastAsia="zh-CN"/>
        </w:rPr>
        <w:t>违反了《中华人民共和国食品安全法》第三十四条第一款第十三</w:t>
      </w:r>
      <w:r>
        <w:rPr>
          <w:rFonts w:hint="eastAsia" w:ascii="仿宋" w:hAnsi="仿宋" w:eastAsia="仿宋" w:cs="仿宋"/>
          <w:color w:val="auto"/>
          <w:sz w:val="32"/>
          <w:szCs w:val="32"/>
          <w:u w:val="single"/>
          <w:lang w:val="en-US" w:eastAsia="zh-CN"/>
        </w:rPr>
        <w:t>项</w:t>
      </w:r>
      <w:r>
        <w:rPr>
          <w:rFonts w:hint="eastAsia" w:ascii="仿宋" w:hAnsi="仿宋" w:eastAsia="仿宋" w:cs="仿宋"/>
          <w:color w:val="auto"/>
          <w:sz w:val="32"/>
          <w:szCs w:val="32"/>
          <w:highlight w:val="none"/>
          <w:u w:val="single"/>
          <w:lang w:val="en-US" w:eastAsia="zh-CN"/>
        </w:rPr>
        <w:t>的规定</w:t>
      </w:r>
      <w:r>
        <w:rPr>
          <w:rFonts w:hint="eastAsia" w:ascii="仿宋" w:hAnsi="仿宋" w:eastAsia="仿宋" w:cs="仿宋"/>
          <w:color w:val="auto"/>
          <w:sz w:val="32"/>
          <w:szCs w:val="32"/>
          <w:u w:val="single"/>
          <w:lang w:eastAsia="zh-CN"/>
        </w:rPr>
        <w:t>：</w:t>
      </w:r>
      <w:r>
        <w:rPr>
          <w:rFonts w:hint="eastAsia" w:ascii="仿宋" w:hAnsi="仿宋" w:eastAsia="仿宋" w:cs="仿宋"/>
          <w:sz w:val="32"/>
          <w:szCs w:val="32"/>
          <w:u w:val="single"/>
          <w:lang w:eastAsia="zh-CN"/>
        </w:rPr>
        <w:t>“禁止生产经营下列食品、食品添加剂、食品相关产品：……</w:t>
      </w:r>
      <w:r>
        <w:rPr>
          <w:rFonts w:hint="eastAsia" w:ascii="仿宋" w:hAnsi="仿宋" w:eastAsia="仿宋" w:cs="仿宋"/>
          <w:sz w:val="32"/>
          <w:szCs w:val="32"/>
          <w:u w:val="single"/>
          <w:lang w:val="en-US" w:eastAsia="zh-CN"/>
        </w:rPr>
        <w:t>（十三）其他不符合法律、法规或者食品安全标准的食品、食品添加剂、食品相关产品</w:t>
      </w:r>
      <w:r>
        <w:rPr>
          <w:rFonts w:hint="eastAsia" w:ascii="仿宋" w:hAnsi="仿宋" w:eastAsia="仿宋" w:cs="仿宋"/>
          <w:sz w:val="32"/>
          <w:szCs w:val="32"/>
          <w:u w:val="single"/>
          <w:lang w:eastAsia="zh-CN"/>
        </w:rPr>
        <w:t>违法行为；”，构成</w:t>
      </w:r>
      <w:r>
        <w:rPr>
          <w:rFonts w:hint="eastAsia" w:ascii="仿宋" w:hAnsi="仿宋" w:eastAsia="仿宋" w:cs="仿宋"/>
          <w:sz w:val="32"/>
          <w:szCs w:val="32"/>
          <w:u w:val="single"/>
          <w:lang w:val="en-US" w:eastAsia="zh-CN"/>
        </w:rPr>
        <w:t>经营不符合食品安全标准限量的食品（青稞醋）</w:t>
      </w:r>
      <w:r>
        <w:rPr>
          <w:rFonts w:hint="eastAsia" w:ascii="仿宋" w:hAnsi="仿宋" w:eastAsia="仿宋" w:cs="仿宋"/>
          <w:sz w:val="32"/>
          <w:szCs w:val="32"/>
          <w:u w:val="single"/>
          <w:lang w:eastAsia="zh-CN"/>
        </w:rPr>
        <w:t>违法行为。</w:t>
      </w:r>
    </w:p>
    <w:p>
      <w:pPr>
        <w:spacing w:line="520" w:lineRule="exact"/>
        <w:ind w:firstLine="640" w:firstLineChars="200"/>
        <w:rPr>
          <w:rFonts w:hint="eastAsia" w:ascii="仿宋" w:hAnsi="仿宋" w:eastAsia="仿宋" w:cs="仿宋"/>
          <w:bCs/>
          <w:sz w:val="32"/>
          <w:szCs w:val="32"/>
          <w:u w:val="single"/>
          <w:lang w:val="en-US" w:eastAsia="zh-CN"/>
        </w:rPr>
      </w:pPr>
      <w:r>
        <w:rPr>
          <w:rFonts w:hint="eastAsia" w:ascii="仿宋" w:hAnsi="仿宋" w:eastAsia="仿宋" w:cs="仿宋"/>
          <w:bCs/>
          <w:sz w:val="32"/>
          <w:szCs w:val="32"/>
          <w:u w:val="single"/>
          <w:lang w:val="en-US" w:eastAsia="zh-CN"/>
        </w:rPr>
        <w:t>因当事人系初次违法，在本案中能积极配合办案人员调查，如实陈述违法事实并主动提供证据材料，通过</w:t>
      </w:r>
      <w:r>
        <w:rPr>
          <w:rFonts w:hint="eastAsia" w:ascii="仿宋" w:hAnsi="仿宋" w:eastAsia="仿宋" w:cs="仿宋"/>
          <w:bCs/>
          <w:color w:val="auto"/>
          <w:sz w:val="32"/>
          <w:szCs w:val="32"/>
          <w:u w:val="single"/>
          <w:lang w:val="en-US" w:eastAsia="zh-CN"/>
        </w:rPr>
        <w:t>整改报告</w:t>
      </w:r>
      <w:r>
        <w:rPr>
          <w:rFonts w:hint="eastAsia" w:ascii="仿宋" w:hAnsi="仿宋" w:eastAsia="仿宋" w:cs="仿宋"/>
          <w:bCs/>
          <w:sz w:val="32"/>
          <w:szCs w:val="32"/>
          <w:u w:val="single"/>
          <w:lang w:val="en-US" w:eastAsia="zh-CN"/>
        </w:rPr>
        <w:t>发现当事人已认识到违法行为带来的危害并承诺加强食品进货查验制度的落实，主观态度较为积极。鉴于</w:t>
      </w:r>
      <w:r>
        <w:rPr>
          <w:rFonts w:hint="eastAsia" w:ascii="仿宋" w:hAnsi="仿宋" w:eastAsia="仿宋" w:cs="仿宋"/>
          <w:sz w:val="32"/>
          <w:szCs w:val="32"/>
          <w:u w:val="single"/>
          <w:lang w:val="en-US" w:eastAsia="zh-CN"/>
        </w:rPr>
        <w:t>当事人提供了青稞醋的进货票据、供货方的营业执照，该批次青稞醋的出厂检验报告，履行了进货查验义务，有充分证据证明其不知道所采购的食品不符合食品安全标准，</w:t>
      </w:r>
      <w:r>
        <w:rPr>
          <w:rFonts w:hint="eastAsia" w:ascii="仿宋" w:hAnsi="仿宋" w:eastAsia="仿宋" w:cs="仿宋"/>
          <w:color w:val="auto"/>
          <w:sz w:val="32"/>
          <w:szCs w:val="32"/>
          <w:highlight w:val="none"/>
          <w:u w:val="single"/>
          <w:lang w:val="en-US" w:eastAsia="zh-CN"/>
        </w:rPr>
        <w:t>并如实说明其进货来源。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应依法予以免于处罚</w:t>
      </w:r>
      <w:r>
        <w:rPr>
          <w:rFonts w:hint="eastAsia" w:ascii="仿宋" w:hAnsi="仿宋" w:eastAsia="仿宋" w:cs="仿宋"/>
          <w:bCs/>
          <w:sz w:val="32"/>
          <w:szCs w:val="32"/>
          <w:u w:val="single"/>
          <w:lang w:val="en-US" w:eastAsia="zh-CN"/>
        </w:rPr>
        <w:t>。</w:t>
      </w:r>
    </w:p>
    <w:p>
      <w:pPr>
        <w:keepNext w:val="0"/>
        <w:keepLines w:val="0"/>
        <w:pageBreakBefore w:val="0"/>
        <w:overflowPunct/>
        <w:topLinePunct w:val="0"/>
        <w:bidi w:val="0"/>
        <w:spacing w:line="500" w:lineRule="exact"/>
        <w:ind w:left="226" w:right="133" w:firstLine="659"/>
        <w:rPr>
          <w:rFonts w:hint="eastAsia" w:ascii="仿宋" w:hAnsi="仿宋" w:eastAsia="仿宋" w:cs="仿宋"/>
          <w:sz w:val="32"/>
          <w:szCs w:val="32"/>
        </w:rPr>
      </w:pPr>
      <w:r>
        <w:rPr>
          <w:rFonts w:hint="eastAsia" w:ascii="仿宋" w:hAnsi="仿宋" w:eastAsia="仿宋" w:cs="仿宋"/>
          <w:spacing w:val="-9"/>
          <w:sz w:val="32"/>
          <w:szCs w:val="32"/>
        </w:rPr>
        <w:t>综上，</w:t>
      </w:r>
      <w:r>
        <w:rPr>
          <w:rFonts w:hint="eastAsia" w:ascii="仿宋" w:hAnsi="仿宋" w:eastAsia="仿宋" w:cs="仿宋"/>
          <w:spacing w:val="-9"/>
          <w:sz w:val="32"/>
          <w:szCs w:val="32"/>
          <w:u w:val="single"/>
        </w:rPr>
        <w:t>当事人上述行为</w:t>
      </w:r>
      <w:r>
        <w:rPr>
          <w:rFonts w:hint="eastAsia" w:ascii="仿宋" w:hAnsi="仿宋" w:eastAsia="仿宋" w:cs="仿宋"/>
          <w:spacing w:val="-9"/>
          <w:sz w:val="32"/>
          <w:szCs w:val="32"/>
          <w:u w:val="single"/>
          <w:lang w:eastAsia="zh-CN"/>
        </w:rPr>
        <w:t>违反了</w:t>
      </w:r>
      <w:r>
        <w:rPr>
          <w:rFonts w:hint="eastAsia" w:ascii="仿宋" w:hAnsi="仿宋" w:eastAsia="仿宋" w:cs="仿宋"/>
          <w:sz w:val="32"/>
          <w:szCs w:val="32"/>
          <w:u w:val="single"/>
          <w:lang w:val="en-US" w:eastAsia="zh-CN"/>
        </w:rPr>
        <w:t>《中华人民共和国食品安全法》第三十四条第一款第十三</w:t>
      </w:r>
      <w:r>
        <w:rPr>
          <w:rFonts w:hint="eastAsia" w:ascii="仿宋" w:hAnsi="仿宋" w:eastAsia="仿宋" w:cs="仿宋"/>
          <w:color w:val="auto"/>
          <w:sz w:val="32"/>
          <w:szCs w:val="32"/>
          <w:u w:val="single"/>
          <w:lang w:val="en-US" w:eastAsia="zh-CN"/>
        </w:rPr>
        <w:t>项</w:t>
      </w:r>
      <w:r>
        <w:rPr>
          <w:rFonts w:hint="eastAsia" w:ascii="仿宋" w:hAnsi="仿宋" w:eastAsia="仿宋" w:cs="仿宋"/>
          <w:spacing w:val="-9"/>
          <w:sz w:val="32"/>
          <w:szCs w:val="32"/>
          <w:u w:val="single"/>
          <w:lang w:val="en-US" w:eastAsia="zh-CN"/>
        </w:rPr>
        <w:t>的规定，依据《中华人民共和国食品安全法》第一百三十六条"</w:t>
      </w:r>
      <w:r>
        <w:rPr>
          <w:rFonts w:hint="eastAsia" w:ascii="仿宋" w:hAnsi="仿宋" w:eastAsia="仿宋" w:cs="仿宋"/>
          <w:spacing w:val="-9"/>
          <w:sz w:val="32"/>
          <w:szCs w:val="32"/>
          <w:u w:val="single"/>
          <w:lang w:eastAsia="zh-CN"/>
        </w:rPr>
        <w:t>的规定</w:t>
      </w:r>
      <w:r>
        <w:rPr>
          <w:rFonts w:hint="eastAsia" w:ascii="仿宋" w:hAnsi="仿宋" w:eastAsia="仿宋" w:cs="仿宋"/>
          <w:spacing w:val="-9"/>
          <w:sz w:val="32"/>
          <w:szCs w:val="32"/>
          <w:u w:val="single"/>
          <w:lang w:val="en-US" w:eastAsia="zh-CN"/>
        </w:rPr>
        <w:t>，现责令当事人改正上述违法行为，决定处罚如下：</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u w:val="single"/>
          <w:lang w:eastAsia="zh-CN"/>
        </w:rPr>
      </w:pPr>
      <w:r>
        <w:rPr>
          <w:rFonts w:hint="eastAsia" w:ascii="仿宋" w:hAnsi="仿宋" w:eastAsia="仿宋" w:cs="仿宋"/>
          <w:spacing w:val="0"/>
          <w:kern w:val="0"/>
          <w:sz w:val="32"/>
          <w:szCs w:val="32"/>
          <w:highlight w:val="none"/>
          <w:u w:val="single"/>
          <w:lang w:val="en-US" w:eastAsia="zh-CN"/>
        </w:rPr>
        <w:t>（1）.</w:t>
      </w:r>
      <w:r>
        <w:rPr>
          <w:rFonts w:hint="eastAsia" w:ascii="仿宋" w:hAnsi="仿宋" w:eastAsia="仿宋" w:cs="仿宋"/>
          <w:color w:val="auto"/>
          <w:sz w:val="32"/>
          <w:szCs w:val="32"/>
          <w:highlight w:val="none"/>
          <w:u w:val="single"/>
          <w:lang w:val="en-US" w:eastAsia="zh-CN"/>
        </w:rPr>
        <w:t>免于罚款</w:t>
      </w:r>
      <w:r>
        <w:rPr>
          <w:rFonts w:hint="eastAsia" w:ascii="仿宋" w:hAnsi="仿宋" w:eastAsia="仿宋" w:cs="仿宋"/>
          <w:sz w:val="32"/>
          <w:szCs w:val="32"/>
          <w:u w:val="singl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pacing w:val="0"/>
          <w:kern w:val="0"/>
          <w:sz w:val="32"/>
          <w:szCs w:val="32"/>
          <w:highlight w:val="none"/>
          <w:u w:val="single"/>
          <w:lang w:val="en-US" w:eastAsia="zh-CN"/>
        </w:rPr>
      </w:pPr>
      <w:r>
        <w:rPr>
          <w:rFonts w:hint="eastAsia" w:ascii="仿宋" w:hAnsi="仿宋" w:eastAsia="仿宋" w:cs="仿宋"/>
          <w:color w:val="auto"/>
          <w:spacing w:val="0"/>
          <w:kern w:val="0"/>
          <w:sz w:val="32"/>
          <w:szCs w:val="32"/>
          <w:highlight w:val="none"/>
          <w:u w:val="single"/>
          <w:lang w:val="en-US" w:eastAsia="zh-CN"/>
        </w:rPr>
        <w:t>（2）.</w:t>
      </w:r>
      <w:r>
        <w:rPr>
          <w:rFonts w:hint="eastAsia" w:ascii="仿宋" w:hAnsi="仿宋" w:eastAsia="仿宋" w:cs="仿宋"/>
          <w:sz w:val="32"/>
          <w:szCs w:val="32"/>
          <w:u w:val="single"/>
          <w:lang w:val="en-US" w:eastAsia="zh-CN"/>
        </w:rPr>
        <w:t>没收检验不合格的食品7瓶（详见财物清单【2023】67号）</w:t>
      </w:r>
      <w:r>
        <w:rPr>
          <w:rFonts w:hint="eastAsia" w:ascii="仿宋" w:hAnsi="仿宋" w:eastAsia="仿宋" w:cs="仿宋"/>
          <w:color w:val="auto"/>
          <w:spacing w:val="0"/>
          <w:kern w:val="0"/>
          <w:sz w:val="32"/>
          <w:szCs w:val="32"/>
          <w:highlight w:val="none"/>
          <w:u w:val="single"/>
          <w:lang w:val="en-US" w:eastAsia="zh-CN"/>
        </w:rPr>
        <w:t>。</w:t>
      </w:r>
    </w:p>
    <w:p>
      <w:pPr>
        <w:keepNext w:val="0"/>
        <w:keepLines w:val="0"/>
        <w:pageBreakBefore w:val="0"/>
        <w:overflowPunct/>
        <w:topLinePunct w:val="0"/>
        <w:bidi w:val="0"/>
        <w:spacing w:line="500" w:lineRule="exact"/>
        <w:ind w:firstLine="655"/>
        <w:rPr>
          <w:rFonts w:hint="eastAsia" w:ascii="仿宋" w:hAnsi="仿宋" w:eastAsia="仿宋" w:cs="仿宋"/>
          <w:color w:val="auto"/>
          <w:spacing w:val="0"/>
          <w:kern w:val="0"/>
          <w:sz w:val="32"/>
          <w:szCs w:val="32"/>
          <w:highlight w:val="none"/>
          <w:u w:val="single"/>
          <w:lang w:val="en-US" w:eastAsia="zh-CN"/>
        </w:rPr>
      </w:pPr>
      <w:r>
        <w:rPr>
          <w:rFonts w:hint="eastAsia" w:ascii="仿宋" w:hAnsi="仿宋" w:eastAsia="仿宋" w:cs="仿宋"/>
          <w:spacing w:val="4"/>
          <w:sz w:val="32"/>
          <w:szCs w:val="32"/>
          <w:u w:val="single" w:color="auto"/>
          <w:lang w:val="en-US" w:eastAsia="zh-CN"/>
        </w:rPr>
        <w:t>处罚依据</w:t>
      </w:r>
      <w:r>
        <w:rPr>
          <w:rFonts w:hint="eastAsia" w:ascii="仿宋" w:hAnsi="仿宋" w:eastAsia="仿宋" w:cs="仿宋"/>
          <w:color w:val="auto"/>
          <w:sz w:val="32"/>
          <w:szCs w:val="32"/>
          <w:highlight w:val="none"/>
          <w:u w:val="single"/>
          <w:lang w:val="en-US" w:eastAsia="zh-CN"/>
        </w:rPr>
        <w:t>《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spacing w:val="4"/>
          <w:sz w:val="32"/>
          <w:szCs w:val="32"/>
          <w:u w:val="single" w:color="auto"/>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_GB2312" w:hAnsi="仿宋_GB2312" w:eastAsia="仿宋" w:cs="仿宋_GB2312"/>
          <w:spacing w:val="0"/>
          <w:kern w:val="0"/>
          <w:sz w:val="32"/>
          <w:szCs w:val="32"/>
          <w:u w:val="single"/>
          <w:lang w:val="en-US" w:eastAsia="zh-CN"/>
        </w:rPr>
      </w:pPr>
      <w:r>
        <w:rPr>
          <w:rFonts w:hint="eastAsia" w:ascii="仿宋_GB2312" w:hAnsi="仿宋_GB2312" w:eastAsia="仿宋" w:cs="仿宋_GB2312"/>
          <w:spacing w:val="0"/>
          <w:kern w:val="0"/>
          <w:sz w:val="32"/>
          <w:szCs w:val="32"/>
          <w:u w:val="none"/>
          <w:lang w:val="en-US" w:eastAsia="zh-CN"/>
        </w:rPr>
        <w:t>当事人应当自收到行政处罚决定书之日起十五日内，将罚没款缴至</w:t>
      </w:r>
      <w:r>
        <w:rPr>
          <w:rFonts w:hint="eastAsia" w:ascii="仿宋_GB2312" w:hAnsi="仿宋_GB2312" w:eastAsia="仿宋" w:cs="仿宋_GB2312"/>
          <w:spacing w:val="0"/>
          <w:kern w:val="0"/>
          <w:sz w:val="32"/>
          <w:szCs w:val="32"/>
          <w:u w:val="single"/>
          <w:lang w:val="en-US" w:eastAsia="zh-CN"/>
        </w:rPr>
        <w:t>中国工商</w:t>
      </w:r>
      <w:r>
        <w:rPr>
          <w:rFonts w:hint="eastAsia" w:ascii="仿宋_GB2312" w:hAnsi="仿宋_GB2312" w:eastAsia="仿宋" w:cs="仿宋_GB2312"/>
          <w:spacing w:val="0"/>
          <w:kern w:val="0"/>
          <w:sz w:val="32"/>
          <w:szCs w:val="32"/>
          <w:u w:val="none"/>
          <w:lang w:val="en-US" w:eastAsia="zh-CN"/>
        </w:rPr>
        <w:t>银行（代收机构名称：</w:t>
      </w:r>
      <w:r>
        <w:rPr>
          <w:rFonts w:hint="eastAsia" w:ascii="仿宋_GB2312" w:hAnsi="仿宋_GB2312" w:eastAsia="仿宋" w:cs="仿宋_GB2312"/>
          <w:spacing w:val="0"/>
          <w:kern w:val="0"/>
          <w:sz w:val="32"/>
          <w:szCs w:val="32"/>
          <w:u w:val="single"/>
          <w:lang w:val="en-US" w:eastAsia="zh-CN"/>
        </w:rPr>
        <w:t>泽普县财政局</w:t>
      </w:r>
      <w:r>
        <w:rPr>
          <w:rFonts w:hint="eastAsia" w:ascii="仿宋_GB2312" w:hAnsi="仿宋_GB2312" w:eastAsia="仿宋" w:cs="仿宋_GB2312"/>
          <w:spacing w:val="0"/>
          <w:kern w:val="0"/>
          <w:sz w:val="32"/>
          <w:szCs w:val="32"/>
          <w:u w:val="none"/>
          <w:lang w:val="en-US" w:eastAsia="zh-CN"/>
        </w:rPr>
        <w:t>，帐号：</w:t>
      </w:r>
      <w:r>
        <w:rPr>
          <w:rFonts w:hint="eastAsia" w:ascii="仿宋_GB2312" w:hAnsi="仿宋_GB2312" w:eastAsia="仿宋" w:cs="仿宋_GB2312"/>
          <w:spacing w:val="0"/>
          <w:kern w:val="0"/>
          <w:sz w:val="32"/>
          <w:szCs w:val="32"/>
          <w:u w:val="single"/>
          <w:lang w:val="en-US" w:eastAsia="zh-CN"/>
        </w:rPr>
        <w:t>3012350029200005839</w:t>
      </w:r>
      <w:r>
        <w:rPr>
          <w:rFonts w:hint="eastAsia" w:ascii="仿宋_GB2312" w:hAnsi="仿宋_GB2312" w:eastAsia="仿宋" w:cs="仿宋_GB2312"/>
          <w:spacing w:val="0"/>
          <w:kern w:val="0"/>
          <w:sz w:val="32"/>
          <w:szCs w:val="32"/>
          <w:u w:val="none"/>
          <w:lang w:val="en-US" w:eastAsia="zh-CN"/>
        </w:rPr>
        <w:t>）。到期不缴纳罚款的，依据《中华人民共和国行政处罚法》第七十二条的规定，本局将每日按罚款数额的百分之三加处罚款，并依法申请法院强制执行。</w:t>
      </w:r>
    </w:p>
    <w:p>
      <w:pPr>
        <w:pStyle w:val="2"/>
        <w:tabs>
          <w:tab w:val="left" w:pos="8395"/>
        </w:tabs>
        <w:spacing w:line="540" w:lineRule="exact"/>
        <w:ind w:firstLine="627" w:firstLineChars="196"/>
        <w:rPr>
          <w:rFonts w:hint="eastAsia" w:ascii="仿宋_GB2312" w:hAnsi="方正仿宋_GBK" w:eastAsia="仿宋_GB2312"/>
          <w:b/>
          <w:color w:val="auto"/>
          <w:u w:val="single" w:color="231F20"/>
        </w:rPr>
      </w:pPr>
      <w:r>
        <w:rPr>
          <w:rFonts w:hint="eastAsia" w:ascii="仿宋_GB2312" w:hAnsi="仿宋_GB2312" w:eastAsia="仿宋" w:cs="仿宋_GB2312"/>
          <w:spacing w:val="0"/>
          <w:kern w:val="0"/>
          <w:sz w:val="32"/>
          <w:szCs w:val="32"/>
          <w:u w:val="none"/>
          <w:lang w:val="en-US" w:eastAsia="zh-CN"/>
        </w:rPr>
        <w:t>如你（单位）不服本行政处罚决定，可以在收到本行政处罚决定书之日起六十日内向</w:t>
      </w:r>
      <w:r>
        <w:rPr>
          <w:rFonts w:hint="eastAsia" w:ascii="仿宋_GB2312" w:hAnsi="仿宋_GB2312" w:eastAsia="仿宋" w:cs="仿宋_GB2312"/>
          <w:spacing w:val="0"/>
          <w:kern w:val="0"/>
          <w:sz w:val="32"/>
          <w:szCs w:val="32"/>
          <w:u w:val="single"/>
          <w:lang w:val="en-US" w:eastAsia="zh-CN"/>
        </w:rPr>
        <w:t>泽普县人民政府</w:t>
      </w:r>
      <w:r>
        <w:rPr>
          <w:rFonts w:hint="eastAsia" w:ascii="仿宋_GB2312" w:hAnsi="仿宋_GB2312" w:eastAsia="仿宋" w:cs="仿宋_GB2312"/>
          <w:spacing w:val="0"/>
          <w:kern w:val="0"/>
          <w:sz w:val="32"/>
          <w:szCs w:val="32"/>
          <w:u w:val="none"/>
          <w:lang w:val="en-US" w:eastAsia="zh-CN"/>
        </w:rPr>
        <w:t>申请行政复议；也可以在六个月内依法向</w:t>
      </w:r>
      <w:r>
        <w:rPr>
          <w:rFonts w:hint="eastAsia" w:ascii="仿宋_GB2312" w:hAnsi="仿宋_GB2312" w:eastAsia="仿宋" w:cs="仿宋_GB2312"/>
          <w:spacing w:val="0"/>
          <w:kern w:val="0"/>
          <w:sz w:val="32"/>
          <w:szCs w:val="32"/>
          <w:u w:val="single"/>
          <w:lang w:val="en-US" w:eastAsia="zh-CN"/>
        </w:rPr>
        <w:t>泽普县</w:t>
      </w:r>
      <w:r>
        <w:rPr>
          <w:rFonts w:hint="eastAsia" w:ascii="仿宋_GB2312" w:hAnsi="仿宋_GB2312" w:eastAsia="仿宋" w:cs="仿宋_GB2312"/>
          <w:spacing w:val="0"/>
          <w:kern w:val="0"/>
          <w:sz w:val="32"/>
          <w:szCs w:val="32"/>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right"/>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drawing>
          <wp:anchor distT="0" distB="0" distL="114300" distR="114300" simplePos="0" relativeHeight="251659264" behindDoc="1" locked="0" layoutInCell="1" allowOverlap="1">
            <wp:simplePos x="0" y="0"/>
            <wp:positionH relativeFrom="column">
              <wp:posOffset>3772535</wp:posOffset>
            </wp:positionH>
            <wp:positionV relativeFrom="paragraph">
              <wp:posOffset>156845</wp:posOffset>
            </wp:positionV>
            <wp:extent cx="1247775" cy="1191260"/>
            <wp:effectExtent l="0" t="0" r="9525" b="8890"/>
            <wp:wrapNone/>
            <wp:docPr id="1"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247775" cy="1191260"/>
                    </a:xfrm>
                    <a:prstGeom prst="rect">
                      <a:avLst/>
                    </a:prstGeom>
                  </pic:spPr>
                </pic:pic>
              </a:graphicData>
            </a:graphic>
          </wp:anchor>
        </w:drawing>
      </w:r>
      <w:r>
        <w:rPr>
          <w:rFonts w:hint="eastAsia" w:ascii="仿宋_GB2312" w:hAnsi="仿宋_GB2312" w:eastAsia="仿宋" w:cs="仿宋_GB2312"/>
          <w:spacing w:val="0"/>
          <w:kern w:val="0"/>
          <w:sz w:val="32"/>
          <w:szCs w:val="32"/>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center"/>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 xml:space="preserve">                                 (印章)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ascii="黑体" w:hAnsi="黑体" w:eastAsia="黑体" w:cs="黑体"/>
          <w:color w:val="231F20"/>
          <w:spacing w:val="-31"/>
          <w:sz w:val="32"/>
          <w:szCs w:val="32"/>
        </w:rPr>
      </w:pPr>
      <w:r>
        <w:rPr>
          <w:rFonts w:hint="eastAsia" w:ascii="仿宋_GB2312" w:hAnsi="仿宋_GB2312" w:eastAsia="仿宋" w:cs="仿宋_GB2312"/>
          <w:spacing w:val="0"/>
          <w:kern w:val="0"/>
          <w:sz w:val="32"/>
          <w:szCs w:val="32"/>
          <w:u w:val="none"/>
          <w:lang w:val="en-US" w:eastAsia="zh-CN"/>
        </w:rPr>
        <w:t>2023年12月22日</w:t>
      </w:r>
    </w:p>
    <w:p>
      <w:pPr>
        <w:keepNext w:val="0"/>
        <w:keepLines w:val="0"/>
        <w:pageBreakBefore w:val="0"/>
        <w:widowControl/>
        <w:kinsoku w:val="0"/>
        <w:wordWrap/>
        <w:overflowPunct/>
        <w:topLinePunct w:val="0"/>
        <w:autoSpaceDE w:val="0"/>
        <w:autoSpaceDN w:val="0"/>
        <w:bidi w:val="0"/>
        <w:adjustRightInd w:val="0"/>
        <w:snapToGrid w:val="0"/>
        <w:spacing w:before="157" w:beforeLines="50" w:line="500" w:lineRule="exact"/>
        <w:ind w:firstLine="403"/>
        <w:textAlignment w:val="baseline"/>
        <w:rPr>
          <w:rFonts w:ascii="Microsoft JhengHei"/>
          <w:sz w:val="21"/>
        </w:rPr>
      </w:pPr>
      <w:r>
        <w:rPr>
          <w:rFonts w:ascii="黑体" w:hAnsi="黑体" w:eastAsia="黑体" w:cs="黑体"/>
          <w:color w:val="231F20"/>
          <w:spacing w:val="-31"/>
          <w:sz w:val="32"/>
          <w:szCs w:val="32"/>
        </w:rPr>
        <w:t>（市场监督管理部门将依法向社会公开行政处罚决定信息）</w:t>
      </w:r>
    </w:p>
    <w:p>
      <w:pPr>
        <w:keepNext w:val="0"/>
        <w:keepLines w:val="0"/>
        <w:pageBreakBefore w:val="0"/>
        <w:overflowPunct/>
        <w:topLinePunct w:val="0"/>
        <w:bidi w:val="0"/>
        <w:spacing w:line="500" w:lineRule="exact"/>
        <w:textAlignment w:val="center"/>
      </w:pPr>
      <w:r>
        <w:drawing>
          <wp:inline distT="0" distB="0" distL="0" distR="0">
            <wp:extent cx="5550535" cy="15875"/>
            <wp:effectExtent l="0" t="0" r="0" b="0"/>
            <wp:docPr id="9" name="IM 229"/>
            <wp:cNvGraphicFramePr/>
            <a:graphic xmlns:a="http://schemas.openxmlformats.org/drawingml/2006/main">
              <a:graphicData uri="http://schemas.openxmlformats.org/drawingml/2006/picture">
                <pic:pic xmlns:pic="http://schemas.openxmlformats.org/drawingml/2006/picture">
                  <pic:nvPicPr>
                    <pic:cNvPr id="9" name="IM 229"/>
                    <pic:cNvPicPr/>
                  </pic:nvPicPr>
                  <pic:blipFill>
                    <a:blip r:embed="rId5"/>
                    <a:stretch>
                      <a:fillRect/>
                    </a:stretch>
                  </pic:blipFill>
                  <pic:spPr>
                    <a:xfrm>
                      <a:off x="0" y="0"/>
                      <a:ext cx="5550535" cy="16509"/>
                    </a:xfrm>
                    <a:prstGeom prst="rect">
                      <a:avLst/>
                    </a:prstGeom>
                  </pic:spPr>
                </pic:pic>
              </a:graphicData>
            </a:graphic>
          </wp:inline>
        </w:drawing>
      </w:r>
    </w:p>
    <w:p>
      <w:pPr>
        <w:keepNext w:val="0"/>
        <w:keepLines w:val="0"/>
        <w:pageBreakBefore w:val="0"/>
        <w:overflowPunct/>
        <w:topLinePunct w:val="0"/>
        <w:bidi w:val="0"/>
        <w:spacing w:line="500" w:lineRule="exact"/>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2</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val="en-US" w:eastAsia="zh-CN"/>
        </w:rPr>
        <w:t>1</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YmUyNWJkNWRkNDU0NWM1ZWM4MTQwNDk2ZTUwZT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1678"/>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27C5214"/>
    <w:rsid w:val="035A72BF"/>
    <w:rsid w:val="045B52FD"/>
    <w:rsid w:val="07F92E63"/>
    <w:rsid w:val="087C5F39"/>
    <w:rsid w:val="0991537B"/>
    <w:rsid w:val="0A762A5A"/>
    <w:rsid w:val="0B2B5170"/>
    <w:rsid w:val="0E0448B4"/>
    <w:rsid w:val="11651664"/>
    <w:rsid w:val="11AC3ABF"/>
    <w:rsid w:val="13B03DF5"/>
    <w:rsid w:val="13BC1AF2"/>
    <w:rsid w:val="15023C9F"/>
    <w:rsid w:val="179320E3"/>
    <w:rsid w:val="17A40733"/>
    <w:rsid w:val="180A0780"/>
    <w:rsid w:val="18222D82"/>
    <w:rsid w:val="18FC2405"/>
    <w:rsid w:val="19D6619F"/>
    <w:rsid w:val="1A910543"/>
    <w:rsid w:val="1AA55A63"/>
    <w:rsid w:val="1B7202A9"/>
    <w:rsid w:val="1CB00A08"/>
    <w:rsid w:val="1D056BA7"/>
    <w:rsid w:val="1D1C7EF7"/>
    <w:rsid w:val="241906BD"/>
    <w:rsid w:val="262872F1"/>
    <w:rsid w:val="271B0579"/>
    <w:rsid w:val="28C72906"/>
    <w:rsid w:val="2A1610CF"/>
    <w:rsid w:val="2A2C44B8"/>
    <w:rsid w:val="2A5E75C7"/>
    <w:rsid w:val="2C59717D"/>
    <w:rsid w:val="2C670FD4"/>
    <w:rsid w:val="2C7929C0"/>
    <w:rsid w:val="2CCE604E"/>
    <w:rsid w:val="2E440819"/>
    <w:rsid w:val="2F4405B8"/>
    <w:rsid w:val="2F9024E3"/>
    <w:rsid w:val="2FE204FD"/>
    <w:rsid w:val="35B36AE2"/>
    <w:rsid w:val="365807E8"/>
    <w:rsid w:val="365A7599"/>
    <w:rsid w:val="36EC373E"/>
    <w:rsid w:val="39BD2A1C"/>
    <w:rsid w:val="39EF1D2D"/>
    <w:rsid w:val="3A021163"/>
    <w:rsid w:val="3B5D6970"/>
    <w:rsid w:val="3E87253D"/>
    <w:rsid w:val="40346FD3"/>
    <w:rsid w:val="41430879"/>
    <w:rsid w:val="419158DF"/>
    <w:rsid w:val="42875997"/>
    <w:rsid w:val="432522B0"/>
    <w:rsid w:val="43301127"/>
    <w:rsid w:val="438931CC"/>
    <w:rsid w:val="44124677"/>
    <w:rsid w:val="46233ED5"/>
    <w:rsid w:val="46E522D4"/>
    <w:rsid w:val="46FD1627"/>
    <w:rsid w:val="47AA03F6"/>
    <w:rsid w:val="4CC67F1C"/>
    <w:rsid w:val="4D943CD4"/>
    <w:rsid w:val="4DCE527F"/>
    <w:rsid w:val="4E5A5688"/>
    <w:rsid w:val="4FB60719"/>
    <w:rsid w:val="51A16539"/>
    <w:rsid w:val="56A67DFF"/>
    <w:rsid w:val="587421B6"/>
    <w:rsid w:val="58DD7B67"/>
    <w:rsid w:val="59BF3D83"/>
    <w:rsid w:val="5BD40D92"/>
    <w:rsid w:val="5BE10001"/>
    <w:rsid w:val="5CA249EC"/>
    <w:rsid w:val="5DBD746F"/>
    <w:rsid w:val="624520A2"/>
    <w:rsid w:val="66386266"/>
    <w:rsid w:val="6724426A"/>
    <w:rsid w:val="67EB2E01"/>
    <w:rsid w:val="68804CC4"/>
    <w:rsid w:val="6BD95533"/>
    <w:rsid w:val="6C331E73"/>
    <w:rsid w:val="6C6725B1"/>
    <w:rsid w:val="6CC94CD8"/>
    <w:rsid w:val="6CE1187F"/>
    <w:rsid w:val="71222AE3"/>
    <w:rsid w:val="71874725"/>
    <w:rsid w:val="725D4060"/>
    <w:rsid w:val="73F97FBA"/>
    <w:rsid w:val="741B5358"/>
    <w:rsid w:val="7876453C"/>
    <w:rsid w:val="798F51BB"/>
    <w:rsid w:val="7A48544D"/>
    <w:rsid w:val="7AD974EC"/>
    <w:rsid w:val="7B1D0887"/>
    <w:rsid w:val="7BF00D74"/>
    <w:rsid w:val="7D864E17"/>
    <w:rsid w:val="7EB42631"/>
    <w:rsid w:val="7F0E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Arial Unicode MS" w:hAnsi="Arial Unicode MS" w:eastAsia="Arial Unicode MS" w:cs="Arial Unicode MS"/>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autoRedefine/>
    <w:qFormat/>
    <w:uiPriority w:val="0"/>
    <w:rPr>
      <w:rFonts w:hint="eastAsia" w:ascii="宋体" w:hAnsi="宋体" w:eastAsia="宋体" w:cs="宋体"/>
      <w:color w:val="000000"/>
      <w:sz w:val="22"/>
      <w:szCs w:val="22"/>
      <w:u w:val="non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0</TotalTime>
  <ScaleCrop>false</ScaleCrop>
  <LinksUpToDate>false</LinksUpToDate>
  <CharactersWithSpaces>1859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2022-06-30T07:06:00Z</dcterms:created>
  <dc:creator>Administrator</dc:creator>
  <cp:lastModifiedBy>z我的唯一z</cp:lastModifiedBy>
  <cp:lastPrinted>2023-12-26T02:38:00Z</cp:lastPrinted>
  <dcterms:modified xsi:type="dcterms:W3CDTF">2023-12-26T05:05:28Z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53C97A1265A44DC3BDB98E570E5674FA</vt:lpwstr>
  </property>
</Properties>
</file>