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关于公布</w:t>
      </w:r>
      <w:r>
        <w:rPr>
          <w:rFonts w:hint="eastAsia" w:ascii="方正小标宋_GBK" w:hAnsi="方正小标宋_GBK" w:eastAsia="方正小标宋_GBK" w:cs="方正小标宋_GBK"/>
          <w:sz w:val="44"/>
          <w:szCs w:val="44"/>
          <w:lang w:val="en-US" w:eastAsia="zh-CN"/>
        </w:rPr>
        <w:t>泽普县</w:t>
      </w:r>
      <w:r>
        <w:rPr>
          <w:rFonts w:hint="eastAsia" w:ascii="方正小标宋_GBK" w:hAnsi="方正小标宋_GBK" w:eastAsia="方正小标宋_GBK" w:cs="方正小标宋_GBK"/>
          <w:sz w:val="44"/>
          <w:szCs w:val="44"/>
        </w:rPr>
        <w:t>市场监督管理局</w:t>
      </w:r>
      <w:bookmarkStart w:id="0" w:name="_Toc76683366"/>
      <w:r>
        <w:rPr>
          <w:rFonts w:hint="eastAsia" w:ascii="方正小标宋_GBK" w:hAnsi="方正小标宋_GBK" w:eastAsia="方正小标宋_GBK" w:cs="方正小标宋_GBK"/>
          <w:sz w:val="44"/>
          <w:szCs w:val="44"/>
        </w:rPr>
        <w:t>不予行政处罚决定书</w:t>
      </w:r>
      <w:bookmarkEnd w:id="0"/>
      <w:r>
        <w:rPr>
          <w:rFonts w:hint="eastAsia" w:ascii="方正小标宋_GBK" w:hAnsi="方正小标宋_GBK" w:eastAsia="方正小标宋_GBK" w:cs="方正小标宋_GBK"/>
          <w:sz w:val="44"/>
          <w:szCs w:val="44"/>
          <w:lang w:val="en-US" w:eastAsia="zh-CN"/>
        </w:rPr>
        <w:t>泽</w:t>
      </w:r>
      <w:r>
        <w:rPr>
          <w:rFonts w:hint="eastAsia" w:ascii="方正小标宋_GBK" w:hAnsi="方正小标宋_GBK" w:eastAsia="方正小标宋_GBK" w:cs="方正小标宋_GBK"/>
          <w:sz w:val="44"/>
          <w:szCs w:val="44"/>
        </w:rPr>
        <w:t>市监处罚〔</w:t>
      </w:r>
      <w:r>
        <w:rPr>
          <w:rFonts w:hint="eastAsia" w:ascii="方正小标宋_GBK" w:hAnsi="方正小标宋_GBK" w:eastAsia="方正小标宋_GBK" w:cs="方正小标宋_GBK"/>
          <w:sz w:val="44"/>
          <w:szCs w:val="44"/>
          <w:lang w:val="en-US" w:eastAsia="zh-CN"/>
        </w:rPr>
        <w:t>2023</w:t>
      </w:r>
      <w:r>
        <w:rPr>
          <w:rFonts w:hint="eastAsia" w:ascii="方正小标宋_GBK" w:hAnsi="方正小标宋_GBK" w:eastAsia="方正小标宋_GBK" w:cs="方正小标宋_GBK"/>
          <w:sz w:val="44"/>
          <w:szCs w:val="44"/>
        </w:rPr>
        <w:t>〕</w:t>
      </w:r>
      <w:r>
        <w:rPr>
          <w:rFonts w:hint="eastAsia" w:ascii="方正小标宋_GBK" w:hAnsi="方正小标宋_GBK" w:eastAsia="方正小标宋_GBK" w:cs="方正小标宋_GBK"/>
          <w:sz w:val="44"/>
          <w:szCs w:val="44"/>
          <w:lang w:val="en-US" w:eastAsia="zh-CN"/>
        </w:rPr>
        <w:t>2</w:t>
      </w:r>
      <w:r>
        <w:rPr>
          <w:rFonts w:hint="eastAsia" w:ascii="方正小标宋_GBK" w:hAnsi="方正小标宋_GBK" w:eastAsia="方正小标宋_GBK" w:cs="方正小标宋_GBK"/>
          <w:sz w:val="44"/>
          <w:szCs w:val="44"/>
        </w:rPr>
        <w:t>号的公告</w:t>
      </w:r>
    </w:p>
    <w:p>
      <w:pPr>
        <w:jc w:val="center"/>
        <w:rPr>
          <w:rFonts w:ascii="方正仿宋_GBK" w:hAnsi="方正仿宋_GBK" w:eastAsia="方正仿宋_GBK" w:cs="方正仿宋_GBK"/>
          <w:sz w:val="32"/>
          <w:szCs w:val="32"/>
        </w:rPr>
      </w:pPr>
    </w:p>
    <w:p>
      <w:pPr>
        <w:keepNext w:val="0"/>
        <w:keepLines w:val="0"/>
        <w:pageBreakBefore w:val="0"/>
        <w:tabs>
          <w:tab w:val="left" w:pos="3518"/>
        </w:tabs>
        <w:overflowPunct/>
        <w:topLinePunct w:val="0"/>
        <w:bidi w:val="0"/>
        <w:spacing w:line="168" w:lineRule="auto"/>
        <w:ind w:firstLine="1746"/>
        <w:rPr>
          <w:rFonts w:ascii="Microsoft JhengHei" w:hAnsi="Microsoft JhengHei" w:eastAsia="Microsoft JhengHei" w:cs="Microsoft JhengHei"/>
          <w:sz w:val="44"/>
          <w:szCs w:val="44"/>
        </w:rPr>
      </w:pPr>
      <w:r>
        <w:rPr>
          <w:rFonts w:hint="eastAsia" w:ascii="Microsoft JhengHei" w:hAnsi="Microsoft JhengHei" w:eastAsia="Microsoft JhengHei" w:cs="Microsoft JhengHei"/>
          <w:spacing w:val="-2"/>
          <w:sz w:val="44"/>
          <w:szCs w:val="44"/>
          <w:u w:val="single"/>
          <w:lang w:val="en-US" w:eastAsia="zh-CN"/>
        </w:rPr>
        <w:t>泽普县</w:t>
      </w:r>
      <w:r>
        <w:rPr>
          <w:rFonts w:ascii="Microsoft JhengHei" w:hAnsi="Microsoft JhengHei" w:eastAsia="Microsoft JhengHei" w:cs="Microsoft JhengHei"/>
          <w:spacing w:val="-2"/>
          <w:sz w:val="44"/>
          <w:szCs w:val="44"/>
        </w:rPr>
        <w:t>市场监督管理局</w:t>
      </w:r>
    </w:p>
    <w:p>
      <w:pPr>
        <w:keepNext w:val="0"/>
        <w:keepLines w:val="0"/>
        <w:pageBreakBefore w:val="0"/>
        <w:overflowPunct/>
        <w:topLinePunct w:val="0"/>
        <w:bidi w:val="0"/>
        <w:spacing w:line="204" w:lineRule="auto"/>
        <w:ind w:firstLine="2180" w:firstLineChars="500"/>
        <w:rPr>
          <w:rFonts w:hint="eastAsia" w:ascii="黑体" w:hAnsi="黑体" w:eastAsia="黑体" w:cs="黑体"/>
          <w:sz w:val="44"/>
          <w:szCs w:val="44"/>
        </w:rPr>
      </w:pPr>
      <w:r>
        <w:rPr>
          <w:rFonts w:hint="eastAsia" w:ascii="黑体" w:hAnsi="黑体" w:eastAsia="黑体" w:cs="黑体"/>
          <w:spacing w:val="-2"/>
          <w:sz w:val="44"/>
          <w:szCs w:val="44"/>
        </w:rPr>
        <w:t>不予行政处罚决定书</w:t>
      </w:r>
    </w:p>
    <w:p>
      <w:pPr>
        <w:keepNext w:val="0"/>
        <w:keepLines w:val="0"/>
        <w:pageBreakBefore w:val="0"/>
        <w:tabs>
          <w:tab w:val="left" w:pos="2725"/>
        </w:tabs>
        <w:overflowPunct/>
        <w:topLinePunct w:val="0"/>
        <w:bidi w:val="0"/>
        <w:spacing w:line="183" w:lineRule="auto"/>
        <w:ind w:firstLine="2219"/>
        <w:rPr>
          <w:rFonts w:ascii="仿宋" w:hAnsi="仿宋" w:eastAsia="仿宋" w:cs="仿宋"/>
          <w:sz w:val="32"/>
          <w:szCs w:val="32"/>
        </w:rPr>
      </w:pPr>
      <w:r>
        <w:rPr>
          <w:rFonts w:hint="eastAsia" w:ascii="仿宋" w:hAnsi="仿宋" w:eastAsia="仿宋" w:cs="仿宋"/>
          <w:spacing w:val="-7"/>
          <w:sz w:val="32"/>
          <w:szCs w:val="32"/>
          <w:u w:val="single"/>
          <w:lang w:val="en-US" w:eastAsia="zh-CN"/>
        </w:rPr>
        <w:t>泽</w:t>
      </w:r>
      <w:r>
        <w:rPr>
          <w:rFonts w:ascii="仿宋" w:hAnsi="仿宋" w:eastAsia="仿宋" w:cs="仿宋"/>
          <w:spacing w:val="-7"/>
          <w:sz w:val="32"/>
          <w:szCs w:val="32"/>
        </w:rPr>
        <w:t>市监</w:t>
      </w:r>
      <w:r>
        <w:rPr>
          <w:rFonts w:hint="eastAsia" w:ascii="Times New Roman" w:hAnsi="仿宋_GB2312" w:eastAsia="仿宋_GB2312" w:cs="仿宋_GB2312"/>
          <w:bCs/>
          <w:color w:val="auto"/>
          <w:sz w:val="32"/>
          <w:szCs w:val="32"/>
        </w:rPr>
        <w:t>不罚〔</w:t>
      </w:r>
      <w:r>
        <w:rPr>
          <w:rFonts w:hint="eastAsia" w:ascii="Times New Roman" w:hAnsi="Times New Roman" w:eastAsia="仿宋_GB2312" w:cs="仿宋_GB2312"/>
          <w:bCs/>
          <w:color w:val="auto"/>
          <w:sz w:val="32"/>
          <w:szCs w:val="32"/>
          <w:u w:val="single"/>
          <w:lang w:val="en-US" w:eastAsia="zh-CN"/>
        </w:rPr>
        <w:t>2023</w:t>
      </w:r>
      <w:r>
        <w:rPr>
          <w:rFonts w:hint="eastAsia" w:ascii="Times New Roman" w:hAnsi="仿宋_GB2312" w:eastAsia="仿宋_GB2312" w:cs="仿宋_GB2312"/>
          <w:bCs/>
          <w:color w:val="auto"/>
          <w:sz w:val="32"/>
          <w:szCs w:val="32"/>
        </w:rPr>
        <w:t>〕</w:t>
      </w:r>
      <w:r>
        <w:rPr>
          <w:rFonts w:hint="eastAsia" w:ascii="Times New Roman" w:hAnsi="Times New Roman" w:eastAsia="仿宋_GB2312" w:cs="仿宋_GB2312"/>
          <w:bCs/>
          <w:color w:val="auto"/>
          <w:sz w:val="32"/>
          <w:szCs w:val="32"/>
          <w:u w:val="single"/>
        </w:rPr>
        <w:t xml:space="preserve"> </w:t>
      </w:r>
      <w:r>
        <w:rPr>
          <w:rFonts w:hint="eastAsia" w:ascii="Times New Roman" w:hAnsi="Times New Roman" w:eastAsia="仿宋_GB2312" w:cs="仿宋_GB2312"/>
          <w:bCs/>
          <w:color w:val="auto"/>
          <w:sz w:val="32"/>
          <w:szCs w:val="32"/>
          <w:u w:val="single"/>
          <w:lang w:val="en-US" w:eastAsia="zh-CN"/>
        </w:rPr>
        <w:t>2</w:t>
      </w:r>
      <w:r>
        <w:rPr>
          <w:rFonts w:hint="eastAsia" w:ascii="Times New Roman" w:hAnsi="Times New Roman" w:eastAsia="仿宋_GB2312" w:cs="仿宋_GB2312"/>
          <w:bCs/>
          <w:color w:val="auto"/>
          <w:sz w:val="32"/>
          <w:szCs w:val="32"/>
          <w:u w:val="single"/>
        </w:rPr>
        <w:t xml:space="preserve">  </w:t>
      </w:r>
      <w:r>
        <w:rPr>
          <w:rFonts w:hint="eastAsia" w:ascii="Times New Roman" w:hAnsi="仿宋_GB2312" w:eastAsia="仿宋_GB2312" w:cs="仿宋_GB2312"/>
          <w:bCs/>
          <w:color w:val="auto"/>
          <w:sz w:val="32"/>
          <w:szCs w:val="32"/>
        </w:rPr>
        <w:t>号</w:t>
      </w:r>
    </w:p>
    <w:p>
      <w:pPr>
        <w:keepNext w:val="0"/>
        <w:keepLines w:val="0"/>
        <w:pageBreakBefore w:val="0"/>
        <w:overflowPunct/>
        <w:topLinePunct w:val="0"/>
        <w:bidi w:val="0"/>
        <w:spacing w:line="414" w:lineRule="auto"/>
        <w:rPr>
          <w:rFonts w:ascii="Microsoft JhengHei"/>
          <w:sz w:val="21"/>
          <w:u w:val="single"/>
        </w:rPr>
      </w:pPr>
    </w:p>
    <w:p>
      <w:pPr>
        <w:keepNext w:val="0"/>
        <w:keepLines w:val="0"/>
        <w:pageBreakBefore w:val="0"/>
        <w:overflowPunct/>
        <w:topLinePunct w:val="0"/>
        <w:bidi w:val="0"/>
        <w:spacing w:line="500" w:lineRule="exact"/>
        <w:ind w:left="35" w:right="16" w:firstLine="33"/>
        <w:rPr>
          <w:rFonts w:hint="default" w:ascii="仿宋" w:hAnsi="仿宋" w:eastAsia="仿宋" w:cs="仿宋"/>
          <w:spacing w:val="1"/>
          <w:sz w:val="32"/>
          <w:szCs w:val="32"/>
          <w:u w:val="none" w:color="auto"/>
          <w:lang w:val="en-US" w:eastAsia="zh-CN"/>
        </w:rPr>
      </w:pPr>
      <w:r>
        <w:rPr>
          <w:rFonts w:hint="eastAsia" w:ascii="仿宋" w:hAnsi="仿宋" w:eastAsia="仿宋" w:cs="仿宋"/>
          <w:spacing w:val="-28"/>
          <w:sz w:val="32"/>
          <w:szCs w:val="32"/>
          <w:lang w:eastAsia="zh-CN"/>
        </w:rPr>
        <w:t>当事人</w:t>
      </w:r>
      <w:r>
        <w:rPr>
          <w:rFonts w:ascii="仿宋" w:hAnsi="仿宋" w:eastAsia="仿宋" w:cs="仿宋"/>
          <w:spacing w:val="-28"/>
          <w:w w:val="89"/>
          <w:sz w:val="32"/>
          <w:szCs w:val="32"/>
        </w:rPr>
        <w:t>：</w:t>
      </w:r>
      <w:r>
        <w:rPr>
          <w:rFonts w:ascii="仿宋" w:hAnsi="仿宋" w:eastAsia="仿宋" w:cs="仿宋"/>
          <w:sz w:val="32"/>
          <w:szCs w:val="32"/>
          <w:u w:val="single" w:color="auto"/>
        </w:rPr>
        <w:t xml:space="preserve">  </w:t>
      </w:r>
      <w:r>
        <w:rPr>
          <w:rFonts w:hint="eastAsia" w:ascii="仿宋" w:hAnsi="仿宋" w:eastAsia="仿宋" w:cs="仿宋"/>
          <w:color w:val="000000"/>
          <w:spacing w:val="3"/>
          <w:sz w:val="32"/>
          <w:szCs w:val="32"/>
          <w:highlight w:val="none"/>
          <w:u w:val="single" w:color="auto"/>
          <w:lang w:val="en-US" w:eastAsia="zh-CN"/>
        </w:rPr>
        <w:t>泽普县温诚现成面店</w:t>
      </w:r>
      <w:r>
        <w:rPr>
          <w:rFonts w:hint="eastAsia" w:ascii="仿宋" w:hAnsi="仿宋" w:eastAsia="仿宋" w:cs="仿宋"/>
          <w:spacing w:val="1"/>
          <w:sz w:val="32"/>
          <w:szCs w:val="32"/>
          <w:u w:val="single" w:color="auto"/>
          <w:lang w:val="en-US" w:eastAsia="zh-CN"/>
        </w:rPr>
        <w:t xml:space="preserve"> </w:t>
      </w:r>
      <w:r>
        <w:rPr>
          <w:rFonts w:ascii="仿宋" w:hAnsi="仿宋" w:eastAsia="仿宋" w:cs="仿宋"/>
          <w:sz w:val="32"/>
          <w:szCs w:val="32"/>
          <w:u w:val="single" w:color="auto"/>
        </w:rPr>
        <w:t xml:space="preserve">                                          </w:t>
      </w:r>
      <w:r>
        <w:rPr>
          <w:rFonts w:ascii="仿宋" w:hAnsi="仿宋" w:eastAsia="仿宋" w:cs="仿宋"/>
          <w:spacing w:val="22"/>
          <w:sz w:val="32"/>
          <w:szCs w:val="32"/>
        </w:rPr>
        <w:t xml:space="preserve"> </w:t>
      </w:r>
      <w:r>
        <w:rPr>
          <w:rFonts w:ascii="仿宋" w:hAnsi="仿宋" w:eastAsia="仿宋" w:cs="仿宋"/>
          <w:spacing w:val="-28"/>
          <w:sz w:val="32"/>
          <w:szCs w:val="32"/>
        </w:rPr>
        <w:t>主体资格证照名称：</w:t>
      </w:r>
      <w:r>
        <w:rPr>
          <w:rFonts w:ascii="仿宋" w:hAnsi="仿宋" w:eastAsia="仿宋" w:cs="仿宋"/>
          <w:spacing w:val="1"/>
          <w:sz w:val="32"/>
          <w:szCs w:val="32"/>
          <w:u w:val="single" w:color="auto"/>
        </w:rPr>
        <w:t xml:space="preserve"> </w:t>
      </w:r>
      <w:r>
        <w:rPr>
          <w:rFonts w:hint="eastAsia" w:ascii="仿宋" w:hAnsi="仿宋" w:eastAsia="仿宋" w:cs="仿宋"/>
          <w:spacing w:val="1"/>
          <w:sz w:val="32"/>
          <w:szCs w:val="32"/>
          <w:u w:val="single" w:color="auto"/>
          <w:lang w:val="en-US" w:eastAsia="zh-CN"/>
        </w:rPr>
        <w:t>营业执照</w:t>
      </w:r>
      <w:r>
        <w:rPr>
          <w:rFonts w:ascii="仿宋" w:hAnsi="仿宋" w:eastAsia="仿宋" w:cs="仿宋"/>
          <w:spacing w:val="1"/>
          <w:sz w:val="32"/>
          <w:szCs w:val="32"/>
          <w:u w:val="single" w:color="auto"/>
        </w:rPr>
        <w:t xml:space="preserve">                                  </w:t>
      </w:r>
      <w:r>
        <w:rPr>
          <w:rFonts w:ascii="仿宋" w:hAnsi="仿宋" w:eastAsia="仿宋" w:cs="仿宋"/>
          <w:spacing w:val="19"/>
          <w:sz w:val="32"/>
          <w:szCs w:val="32"/>
        </w:rPr>
        <w:t xml:space="preserve"> </w:t>
      </w:r>
      <w:r>
        <w:rPr>
          <w:rFonts w:ascii="仿宋" w:hAnsi="仿宋" w:eastAsia="仿宋" w:cs="仿宋"/>
          <w:spacing w:val="-28"/>
          <w:sz w:val="32"/>
          <w:szCs w:val="32"/>
        </w:rPr>
        <w:t>统一社会信用代码：</w:t>
      </w:r>
      <w:r>
        <w:rPr>
          <w:rFonts w:ascii="仿宋" w:hAnsi="仿宋" w:eastAsia="仿宋" w:cs="仿宋"/>
          <w:spacing w:val="1"/>
          <w:sz w:val="32"/>
          <w:szCs w:val="32"/>
          <w:u w:val="single" w:color="auto"/>
        </w:rPr>
        <w:t xml:space="preserve"> </w:t>
      </w:r>
      <w:r>
        <w:rPr>
          <w:rFonts w:hint="eastAsia" w:ascii="仿宋" w:hAnsi="仿宋" w:eastAsia="仿宋" w:cs="仿宋"/>
          <w:color w:val="000000"/>
          <w:spacing w:val="3"/>
          <w:sz w:val="32"/>
          <w:szCs w:val="32"/>
          <w:highlight w:val="none"/>
          <w:u w:val="single" w:color="auto"/>
          <w:lang w:val="en-US" w:eastAsia="zh-CN"/>
        </w:rPr>
        <w:t>92653124MA79KE2N63</w:t>
      </w:r>
      <w:r>
        <w:rPr>
          <w:rFonts w:hint="eastAsia" w:ascii="仿宋" w:hAnsi="仿宋" w:eastAsia="仿宋" w:cs="仿宋"/>
          <w:spacing w:val="1"/>
          <w:sz w:val="32"/>
          <w:szCs w:val="32"/>
          <w:u w:val="single" w:color="auto"/>
          <w:lang w:val="en-US" w:eastAsia="zh-CN"/>
        </w:rPr>
        <w:t xml:space="preserve">  </w:t>
      </w:r>
      <w:r>
        <w:rPr>
          <w:rFonts w:ascii="仿宋" w:hAnsi="仿宋" w:eastAsia="仿宋" w:cs="仿宋"/>
          <w:spacing w:val="1"/>
          <w:sz w:val="32"/>
          <w:szCs w:val="32"/>
          <w:u w:val="single" w:color="auto"/>
        </w:rPr>
        <w:t xml:space="preserve">                               </w:t>
      </w:r>
      <w:r>
        <w:rPr>
          <w:rFonts w:ascii="仿宋" w:hAnsi="仿宋" w:eastAsia="仿宋" w:cs="仿宋"/>
          <w:spacing w:val="19"/>
          <w:sz w:val="32"/>
          <w:szCs w:val="32"/>
        </w:rPr>
        <w:t xml:space="preserve"> </w:t>
      </w:r>
      <w:r>
        <w:rPr>
          <w:rFonts w:ascii="仿宋" w:hAnsi="仿宋" w:eastAsia="仿宋" w:cs="仿宋"/>
          <w:spacing w:val="4"/>
          <w:sz w:val="32"/>
          <w:szCs w:val="32"/>
        </w:rPr>
        <w:t>住所</w:t>
      </w:r>
      <w:r>
        <w:rPr>
          <w:rFonts w:ascii="仿宋" w:hAnsi="仿宋" w:eastAsia="仿宋" w:cs="仿宋"/>
          <w:spacing w:val="4"/>
          <w:sz w:val="32"/>
          <w:szCs w:val="32"/>
          <w:u w:val="none" w:color="auto"/>
        </w:rPr>
        <w:t>（</w:t>
      </w:r>
      <w:r>
        <w:rPr>
          <w:rFonts w:hint="eastAsia" w:ascii="仿宋" w:hAnsi="仿宋" w:eastAsia="仿宋" w:cs="仿宋"/>
          <w:spacing w:val="1"/>
          <w:sz w:val="32"/>
          <w:szCs w:val="32"/>
          <w:u w:val="none" w:color="auto"/>
          <w:lang w:val="en-US" w:eastAsia="zh-CN"/>
        </w:rPr>
        <w:t>住址）：</w:t>
      </w:r>
      <w:r>
        <w:rPr>
          <w:rFonts w:hint="eastAsia" w:ascii="仿宋" w:hAnsi="仿宋" w:eastAsia="仿宋" w:cs="仿宋"/>
          <w:spacing w:val="1"/>
          <w:sz w:val="32"/>
          <w:szCs w:val="32"/>
          <w:u w:val="single" w:color="auto"/>
          <w:lang w:val="en-US" w:eastAsia="zh-CN"/>
        </w:rPr>
        <w:t xml:space="preserve"> </w:t>
      </w:r>
      <w:r>
        <w:rPr>
          <w:rFonts w:hint="eastAsia" w:ascii="仿宋" w:hAnsi="仿宋" w:eastAsia="仿宋" w:cs="仿宋"/>
          <w:color w:val="000000"/>
          <w:spacing w:val="3"/>
          <w:sz w:val="32"/>
          <w:szCs w:val="32"/>
          <w:highlight w:val="none"/>
          <w:u w:val="single" w:color="auto"/>
          <w:lang w:val="en-US" w:eastAsia="zh-CN"/>
        </w:rPr>
        <w:t>新疆喀什地区泽普县泽普镇库其小区3号楼1层8号商铺</w:t>
      </w:r>
      <w:r>
        <w:rPr>
          <w:rFonts w:hint="eastAsia" w:ascii="仿宋" w:hAnsi="仿宋" w:eastAsia="仿宋" w:cs="仿宋"/>
          <w:spacing w:val="1"/>
          <w:sz w:val="32"/>
          <w:szCs w:val="32"/>
          <w:u w:val="single" w:color="auto"/>
          <w:lang w:val="en-US" w:eastAsia="zh-CN"/>
        </w:rPr>
        <w:t xml:space="preserve">                                       </w:t>
      </w:r>
      <w:r>
        <w:rPr>
          <w:rFonts w:hint="eastAsia" w:ascii="仿宋" w:hAnsi="仿宋" w:eastAsia="仿宋" w:cs="仿宋"/>
          <w:spacing w:val="1"/>
          <w:sz w:val="32"/>
          <w:szCs w:val="32"/>
          <w:u w:val="none" w:color="auto"/>
          <w:lang w:val="en-US" w:eastAsia="zh-CN"/>
        </w:rPr>
        <w:t xml:space="preserve">                           </w:t>
      </w:r>
    </w:p>
    <w:p>
      <w:pPr>
        <w:keepNext w:val="0"/>
        <w:keepLines w:val="0"/>
        <w:pageBreakBefore w:val="0"/>
        <w:overflowPunct/>
        <w:topLinePunct w:val="0"/>
        <w:bidi w:val="0"/>
        <w:spacing w:line="500" w:lineRule="exact"/>
        <w:ind w:left="35" w:right="16" w:firstLine="33"/>
        <w:rPr>
          <w:rFonts w:ascii="仿宋" w:hAnsi="仿宋" w:eastAsia="仿宋" w:cs="仿宋"/>
          <w:spacing w:val="21"/>
          <w:sz w:val="32"/>
          <w:szCs w:val="32"/>
        </w:rPr>
      </w:pPr>
      <w:r>
        <w:rPr>
          <w:rFonts w:ascii="仿宋" w:hAnsi="仿宋" w:eastAsia="仿宋" w:cs="仿宋"/>
          <w:sz w:val="32"/>
          <w:szCs w:val="32"/>
        </w:rPr>
        <w:t>法定代表人（负责人、</w:t>
      </w:r>
      <w:r>
        <w:rPr>
          <w:rFonts w:ascii="仿宋" w:hAnsi="仿宋" w:eastAsia="仿宋" w:cs="仿宋"/>
          <w:sz w:val="32"/>
          <w:szCs w:val="32"/>
          <w:u w:val="none" w:color="auto"/>
        </w:rPr>
        <w:t>经</w:t>
      </w:r>
      <w:r>
        <w:rPr>
          <w:rFonts w:hint="eastAsia" w:ascii="仿宋" w:hAnsi="仿宋" w:eastAsia="仿宋" w:cs="仿宋"/>
          <w:spacing w:val="1"/>
          <w:sz w:val="32"/>
          <w:szCs w:val="32"/>
          <w:u w:val="none" w:color="auto"/>
          <w:lang w:val="en-US" w:eastAsia="zh-CN"/>
        </w:rPr>
        <w:t>营者）：</w:t>
      </w:r>
      <w:r>
        <w:rPr>
          <w:rFonts w:hint="eastAsia" w:ascii="仿宋" w:hAnsi="仿宋" w:eastAsia="仿宋" w:cs="仿宋"/>
          <w:color w:val="000000"/>
          <w:spacing w:val="3"/>
          <w:sz w:val="32"/>
          <w:szCs w:val="32"/>
          <w:highlight w:val="none"/>
          <w:u w:val="single" w:color="auto"/>
          <w:lang w:val="en-US" w:eastAsia="zh-CN"/>
        </w:rPr>
        <w:t>买买提·艾买提</w:t>
      </w:r>
      <w:r>
        <w:rPr>
          <w:rFonts w:ascii="仿宋" w:hAnsi="仿宋" w:eastAsia="仿宋" w:cs="仿宋"/>
          <w:spacing w:val="1"/>
          <w:sz w:val="32"/>
          <w:szCs w:val="32"/>
          <w:u w:val="single" w:color="auto"/>
        </w:rPr>
        <w:t xml:space="preserve">               </w:t>
      </w:r>
      <w:r>
        <w:rPr>
          <w:rFonts w:ascii="仿宋" w:hAnsi="仿宋" w:eastAsia="仿宋" w:cs="仿宋"/>
          <w:spacing w:val="21"/>
          <w:sz w:val="32"/>
          <w:szCs w:val="32"/>
        </w:rPr>
        <w:t xml:space="preserve"> </w:t>
      </w:r>
    </w:p>
    <w:p>
      <w:pPr>
        <w:keepNext w:val="0"/>
        <w:keepLines w:val="0"/>
        <w:pageBreakBefore w:val="0"/>
        <w:overflowPunct/>
        <w:topLinePunct w:val="0"/>
        <w:bidi w:val="0"/>
        <w:spacing w:line="500" w:lineRule="exact"/>
        <w:ind w:left="35" w:right="16" w:firstLine="33"/>
        <w:rPr>
          <w:rFonts w:ascii="Microsoft JhengHei"/>
          <w:sz w:val="32"/>
          <w:szCs w:val="32"/>
        </w:rPr>
      </w:pPr>
      <w:r>
        <w:rPr>
          <w:rFonts w:ascii="仿宋" w:hAnsi="仿宋" w:eastAsia="仿宋" w:cs="仿宋"/>
          <w:spacing w:val="-31"/>
          <w:w w:val="98"/>
          <w:sz w:val="32"/>
          <w:szCs w:val="32"/>
        </w:rPr>
        <w:t>身份</w:t>
      </w:r>
      <w:r>
        <w:rPr>
          <w:rFonts w:ascii="仿宋" w:hAnsi="仿宋" w:eastAsia="仿宋" w:cs="仿宋"/>
          <w:spacing w:val="-31"/>
          <w:w w:val="98"/>
          <w:sz w:val="32"/>
          <w:szCs w:val="32"/>
          <w:u w:val="none" w:color="auto"/>
        </w:rPr>
        <w:t>证</w:t>
      </w:r>
      <w:r>
        <w:rPr>
          <w:rFonts w:hint="eastAsia" w:ascii="仿宋" w:hAnsi="仿宋" w:eastAsia="仿宋" w:cs="仿宋"/>
          <w:spacing w:val="1"/>
          <w:sz w:val="32"/>
          <w:szCs w:val="32"/>
          <w:u w:val="none" w:color="auto"/>
          <w:lang w:val="en-US" w:eastAsia="zh-CN"/>
        </w:rPr>
        <w:t>件号码：</w:t>
      </w:r>
      <w:r>
        <w:rPr>
          <w:rFonts w:hint="eastAsia" w:ascii="仿宋" w:hAnsi="仿宋" w:eastAsia="仿宋" w:cs="仿宋"/>
          <w:color w:val="000000"/>
          <w:spacing w:val="3"/>
          <w:sz w:val="32"/>
          <w:szCs w:val="32"/>
          <w:highlight w:val="none"/>
          <w:u w:val="single" w:color="auto"/>
          <w:lang w:val="en-US" w:eastAsia="zh-CN"/>
        </w:rPr>
        <w:t>653124198405044631</w:t>
      </w:r>
      <w:r>
        <w:rPr>
          <w:rFonts w:hint="eastAsia" w:ascii="仿宋_GB2312" w:hAnsi="仿宋_GB2312" w:eastAsia="仿宋_GB2312" w:cs="仿宋_GB2312"/>
          <w:sz w:val="32"/>
          <w:szCs w:val="32"/>
          <w:u w:val="single"/>
          <w:lang w:val="en-US" w:eastAsia="zh-CN"/>
        </w:rPr>
        <w:t xml:space="preserve"> </w:t>
      </w:r>
      <w:r>
        <w:rPr>
          <w:rFonts w:ascii="仿宋" w:hAnsi="仿宋" w:eastAsia="仿宋" w:cs="仿宋"/>
          <w:sz w:val="32"/>
          <w:szCs w:val="32"/>
          <w:u w:val="single" w:color="auto"/>
        </w:rPr>
        <w:t xml:space="preserve">                                     </w:t>
      </w:r>
    </w:p>
    <w:p>
      <w:pPr>
        <w:pStyle w:val="2"/>
        <w:tabs>
          <w:tab w:val="left" w:pos="8890"/>
        </w:tabs>
        <w:spacing w:line="520" w:lineRule="exact"/>
        <w:ind w:firstLine="630" w:firstLineChars="196"/>
        <w:rPr>
          <w:rFonts w:hint="default" w:ascii="仿宋_GB2312" w:hAnsi="方正仿宋_GBK" w:eastAsia="仿宋_GB2312"/>
          <w:b/>
          <w:color w:val="auto"/>
          <w:u w:val="single" w:color="231F20"/>
          <w:lang w:val="en-US" w:eastAsia="zh-CN"/>
        </w:rPr>
      </w:pPr>
      <w:r>
        <w:rPr>
          <w:rFonts w:hint="eastAsia" w:ascii="仿宋_GB2312" w:hAnsi="方正仿宋_GBK" w:eastAsia="仿宋_GB2312"/>
          <w:b/>
          <w:color w:val="auto"/>
          <w:u w:val="single" w:color="231F20"/>
        </w:rPr>
        <w:t>（</w:t>
      </w:r>
      <w:r>
        <w:rPr>
          <w:rFonts w:hint="eastAsia" w:ascii="楷体_GB2312" w:hAnsi="方正仿宋_GBK" w:eastAsia="楷体_GB2312"/>
          <w:b/>
          <w:color w:val="auto"/>
          <w:u w:val="single" w:color="231F20"/>
        </w:rPr>
        <w:t>案件来源及调查经过</w:t>
      </w:r>
      <w:r>
        <w:rPr>
          <w:rFonts w:hint="eastAsia" w:ascii="仿宋_GB2312" w:hAnsi="方正仿宋_GBK" w:eastAsia="仿宋_GB2312"/>
          <w:b/>
          <w:color w:val="auto"/>
          <w:u w:val="single" w:color="231F20"/>
        </w:rPr>
        <w:t>）</w:t>
      </w:r>
      <w:r>
        <w:rPr>
          <w:rFonts w:hint="eastAsia" w:ascii="仿宋_GB2312" w:hAnsi="方正仿宋_GBK" w:eastAsia="仿宋_GB2312"/>
          <w:b/>
          <w:color w:val="auto"/>
          <w:u w:val="single" w:color="231F20"/>
          <w:lang w:val="en-US" w:eastAsia="zh-CN"/>
        </w:rPr>
        <w:t xml:space="preserve">                          </w:t>
      </w:r>
    </w:p>
    <w:p>
      <w:pPr>
        <w:pStyle w:val="2"/>
        <w:tabs>
          <w:tab w:val="left" w:pos="8890"/>
        </w:tabs>
        <w:spacing w:line="520" w:lineRule="exact"/>
        <w:ind w:firstLine="627" w:firstLineChars="196"/>
        <w:rPr>
          <w:rFonts w:ascii="仿宋_GB2312" w:hAnsi="方正仿宋_GBK" w:eastAsia="仿宋_GB2312"/>
          <w:b/>
          <w:color w:val="auto"/>
          <w:u w:val="single" w:color="231F20"/>
          <w:lang w:val="en-US" w:eastAsia="zh-CN"/>
        </w:rPr>
      </w:pPr>
      <w:r>
        <w:rPr>
          <w:rFonts w:hint="eastAsia" w:ascii="仿宋" w:hAnsi="仿宋" w:eastAsia="仿宋" w:cs="仿宋"/>
          <w:sz w:val="32"/>
          <w:szCs w:val="32"/>
          <w:u w:val="single"/>
          <w:lang w:val="en-US" w:eastAsia="zh-CN"/>
        </w:rPr>
        <w:t>2023年8月26日，新疆维吾尔自治区市场监督管理局委托新疆维吾尔自治区产品质量监督检验研究院对泽普县温诚现成面店销售的棉籽油进行抽样检测。2023年9月26日我局收到新疆维吾尔自治区产品质量监督检验研究院出具的编号为：NO：2023X-J-SP26302的检验报告，检验结果显示溶剂残留量项目不符合GB2716-2018《食品安全国家标准、植物油》要求，检验结论为不合格。经向当事人送达国家食品安全的抽样检验不合格结果通知书和新疆维吾尔自治区产品质量监督检验研究院出具的食品安全监督抽检检验报告（编号为：NO：2023X-J-SP26302，同时一并告知了当事人享有的权利及复检的时限，当事人买买提·艾买提签收了检验报告书及通知书，对抽检结果无异议</w:t>
      </w:r>
      <w:r>
        <w:rPr>
          <w:rFonts w:hint="eastAsia" w:ascii="仿宋" w:hAnsi="仿宋" w:eastAsia="仿宋" w:cs="仿宋"/>
          <w:sz w:val="32"/>
          <w:szCs w:val="32"/>
          <w:highlight w:val="none"/>
          <w:u w:val="single"/>
          <w:lang w:val="en-US" w:eastAsia="zh-CN"/>
        </w:rPr>
        <w:t>。</w:t>
      </w:r>
      <w:r>
        <w:rPr>
          <w:rFonts w:hint="eastAsia" w:ascii="仿宋_GB2312" w:hAnsi="方正仿宋_GBK" w:eastAsia="仿宋_GB2312"/>
          <w:b/>
          <w:color w:val="auto"/>
          <w:u w:val="single" w:color="231F20"/>
          <w:lang w:val="en-US" w:eastAsia="zh-CN"/>
        </w:rPr>
        <w:t xml:space="preserve">                           </w:t>
      </w:r>
    </w:p>
    <w:p>
      <w:pPr>
        <w:pStyle w:val="2"/>
        <w:tabs>
          <w:tab w:val="left" w:pos="9060"/>
        </w:tabs>
        <w:spacing w:line="520" w:lineRule="exact"/>
        <w:rPr>
          <w:rFonts w:hint="eastAsia" w:ascii="仿宋" w:hAnsi="仿宋" w:eastAsia="仿宋" w:cs="仿宋"/>
          <w:color w:val="auto"/>
          <w:sz w:val="32"/>
          <w:szCs w:val="32"/>
          <w:highlight w:val="none"/>
          <w:u w:val="single"/>
          <w:lang w:val="en-US" w:eastAsia="zh-CN"/>
        </w:rPr>
      </w:pPr>
      <w:r>
        <w:rPr>
          <w:rFonts w:hint="eastAsia" w:ascii="Times New Roman" w:eastAsia="仿宋_GB2312" w:cs="Mongolian Baiti"/>
          <w:color w:val="auto"/>
          <w:kern w:val="1"/>
        </w:rPr>
        <w:t>经查，</w:t>
      </w:r>
      <w:r>
        <w:rPr>
          <w:rFonts w:hint="eastAsia" w:ascii="仿宋" w:hAnsi="仿宋" w:eastAsia="仿宋" w:cs="仿宋"/>
          <w:color w:val="auto"/>
          <w:sz w:val="32"/>
          <w:szCs w:val="32"/>
          <w:highlight w:val="none"/>
          <w:u w:val="single"/>
          <w:lang w:val="en-US" w:eastAsia="zh-CN"/>
        </w:rPr>
        <w:t>涉案</w:t>
      </w:r>
      <w:r>
        <w:rPr>
          <w:rFonts w:hint="eastAsia" w:ascii="仿宋" w:hAnsi="仿宋" w:eastAsia="仿宋" w:cs="仿宋"/>
          <w:color w:val="auto"/>
          <w:sz w:val="32"/>
          <w:szCs w:val="32"/>
          <w:u w:val="single"/>
          <w:lang w:val="en-US" w:eastAsia="zh-CN"/>
        </w:rPr>
        <w:t>棉籽油（预包装成品油）</w:t>
      </w:r>
      <w:r>
        <w:rPr>
          <w:rFonts w:hint="eastAsia" w:ascii="仿宋" w:hAnsi="仿宋" w:eastAsia="仿宋" w:cs="仿宋"/>
          <w:color w:val="auto"/>
          <w:sz w:val="32"/>
          <w:szCs w:val="32"/>
          <w:highlight w:val="none"/>
          <w:u w:val="single"/>
          <w:lang w:val="en-US" w:eastAsia="zh-CN"/>
        </w:rPr>
        <w:t>已被由供货商泽普县牡丹批发店换成别的品牌的油。经询问，当事人陈述涉案棉籽油是2023年8月24日从泽普县牡丹批发店购进的，购进数量为：1件（4桶），进货价每桶/40元，零售价是每桶/55元，购进总金额：160元。2023年8月26日，新疆维吾尔自治区市场监督管理局委托新疆维吾尔自治区产品质量监督检验研究院抽检棉籽油购买了2桶，共计110元，剩2桶棉籽油被泽普县牡丹批发店召回。当事人提供了该批次棉籽油的进货票据、供货商的营业执照、该批次棉籽油的出厂检验报告单。</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新疆维吾尔自治区产品质量监督检验研究院出具的编号为：NO：2023X-J-SP26302的检验报告，检验结果显示溶剂残留量项目不符合GB2716-2018《食品安全国家标准、植物油》要求，检验结论为不合格，当事人收到检验报告之日起七个工作日内未提出复检，办案人员认定当事人的行为涉嫌</w:t>
      </w:r>
      <w:r>
        <w:rPr>
          <w:rFonts w:hint="eastAsia" w:ascii="仿宋" w:hAnsi="仿宋" w:eastAsia="仿宋" w:cs="仿宋"/>
          <w:bCs/>
          <w:sz w:val="32"/>
          <w:szCs w:val="32"/>
          <w:u w:val="single"/>
          <w:lang w:val="en-US" w:eastAsia="zh-CN"/>
        </w:rPr>
        <w:t>经营</w:t>
      </w:r>
      <w:r>
        <w:rPr>
          <w:rFonts w:hint="eastAsia" w:ascii="仿宋" w:hAnsi="仿宋" w:eastAsia="仿宋" w:cs="仿宋"/>
          <w:sz w:val="32"/>
          <w:szCs w:val="32"/>
          <w:u w:val="single"/>
          <w:lang w:val="en-US" w:eastAsia="zh-CN"/>
        </w:rPr>
        <w:t>不符合食品安全国家标准的食品（棉</w:t>
      </w:r>
      <w:r>
        <w:rPr>
          <w:rFonts w:hint="eastAsia" w:ascii="仿宋" w:hAnsi="仿宋" w:eastAsia="仿宋" w:cs="仿宋"/>
          <w:bCs/>
          <w:sz w:val="32"/>
          <w:szCs w:val="32"/>
          <w:u w:val="single"/>
          <w:lang w:val="en-US" w:eastAsia="zh-CN"/>
        </w:rPr>
        <w:t>籽油）</w:t>
      </w:r>
      <w:r>
        <w:rPr>
          <w:rFonts w:hint="eastAsia" w:ascii="仿宋" w:hAnsi="仿宋" w:eastAsia="仿宋" w:cs="仿宋"/>
          <w:sz w:val="32"/>
          <w:szCs w:val="32"/>
          <w:u w:val="single"/>
          <w:lang w:val="en-US" w:eastAsia="zh-CN"/>
        </w:rPr>
        <w:t>。</w:t>
      </w:r>
    </w:p>
    <w:p>
      <w:pPr>
        <w:keepNext w:val="0"/>
        <w:keepLines w:val="0"/>
        <w:pageBreakBefore w:val="0"/>
        <w:overflowPunct/>
        <w:bidi w:val="0"/>
        <w:spacing w:line="500" w:lineRule="exact"/>
        <w:ind w:firstLine="640" w:firstLineChars="200"/>
        <w:rPr>
          <w:rFonts w:hint="eastAsia" w:ascii="仿宋" w:hAnsi="仿宋" w:eastAsia="仿宋" w:cs="仿宋"/>
          <w:color w:val="auto"/>
          <w:sz w:val="32"/>
          <w:szCs w:val="32"/>
          <w:highlight w:val="none"/>
          <w:u w:val="single"/>
          <w:lang w:val="en-US" w:eastAsia="zh-CN"/>
        </w:rPr>
      </w:pPr>
      <w:r>
        <w:rPr>
          <w:rFonts w:hint="eastAsia" w:ascii="仿宋" w:hAnsi="仿宋" w:eastAsia="仿宋" w:cs="仿宋"/>
          <w:sz w:val="32"/>
          <w:szCs w:val="32"/>
          <w:u w:val="single"/>
          <w:lang w:val="en-US" w:eastAsia="zh-CN"/>
        </w:rPr>
        <w:t>当事人于2023年8月24日购进</w:t>
      </w:r>
      <w:r>
        <w:rPr>
          <w:rFonts w:hint="eastAsia" w:ascii="仿宋" w:hAnsi="仿宋" w:eastAsia="仿宋" w:cs="仿宋"/>
          <w:color w:val="auto"/>
          <w:sz w:val="32"/>
          <w:szCs w:val="32"/>
          <w:highlight w:val="none"/>
          <w:u w:val="single"/>
          <w:lang w:val="en-US" w:eastAsia="zh-CN"/>
        </w:rPr>
        <w:t>棉籽油</w:t>
      </w:r>
      <w:r>
        <w:rPr>
          <w:rFonts w:hint="eastAsia" w:ascii="仿宋" w:hAnsi="仿宋" w:eastAsia="仿宋" w:cs="仿宋"/>
          <w:sz w:val="32"/>
          <w:szCs w:val="32"/>
          <w:u w:val="single"/>
          <w:lang w:val="en-US" w:eastAsia="zh-CN"/>
        </w:rPr>
        <w:t>，共</w:t>
      </w:r>
      <w:r>
        <w:rPr>
          <w:rFonts w:hint="eastAsia" w:ascii="仿宋" w:hAnsi="仿宋" w:eastAsia="仿宋" w:cs="仿宋"/>
          <w:color w:val="auto"/>
          <w:sz w:val="32"/>
          <w:szCs w:val="32"/>
          <w:highlight w:val="none"/>
          <w:u w:val="single"/>
          <w:lang w:val="en-US" w:eastAsia="zh-CN"/>
        </w:rPr>
        <w:t>1件（4桶）</w:t>
      </w:r>
      <w:r>
        <w:rPr>
          <w:rFonts w:hint="eastAsia" w:ascii="仿宋" w:hAnsi="仿宋" w:eastAsia="仿宋" w:cs="仿宋"/>
          <w:sz w:val="32"/>
          <w:szCs w:val="32"/>
          <w:u w:val="single"/>
          <w:lang w:val="en-US" w:eastAsia="zh-CN"/>
        </w:rPr>
        <w:t>，</w:t>
      </w:r>
      <w:r>
        <w:rPr>
          <w:rFonts w:hint="eastAsia" w:ascii="仿宋" w:hAnsi="仿宋" w:eastAsia="仿宋" w:cs="仿宋"/>
          <w:color w:val="auto"/>
          <w:sz w:val="32"/>
          <w:szCs w:val="32"/>
          <w:u w:val="single"/>
          <w:lang w:val="en-US" w:eastAsia="zh-CN"/>
        </w:rPr>
        <w:t>每桶进价为40元，</w:t>
      </w:r>
      <w:r>
        <w:rPr>
          <w:rFonts w:hint="eastAsia" w:ascii="仿宋" w:hAnsi="仿宋" w:eastAsia="仿宋" w:cs="仿宋"/>
          <w:sz w:val="32"/>
          <w:szCs w:val="32"/>
          <w:highlight w:val="none"/>
          <w:u w:val="single"/>
          <w:lang w:val="en-US" w:eastAsia="zh-CN"/>
        </w:rPr>
        <w:t>零售价是55元/桶</w:t>
      </w:r>
      <w:r>
        <w:rPr>
          <w:rFonts w:hint="eastAsia" w:ascii="仿宋" w:hAnsi="仿宋" w:eastAsia="仿宋" w:cs="仿宋"/>
          <w:sz w:val="32"/>
          <w:szCs w:val="32"/>
          <w:u w:val="single"/>
          <w:lang w:val="en-US" w:eastAsia="zh-CN"/>
        </w:rPr>
        <w:t>，上述涉案棉籽油货值金额为55元/每桶*4桶=220元，办案人员认定当事人销售涉案</w:t>
      </w:r>
      <w:r>
        <w:rPr>
          <w:rFonts w:hint="eastAsia" w:ascii="仿宋" w:hAnsi="仿宋" w:eastAsia="仿宋" w:cs="仿宋"/>
          <w:color w:val="auto"/>
          <w:sz w:val="32"/>
          <w:szCs w:val="32"/>
          <w:highlight w:val="none"/>
          <w:u w:val="single"/>
          <w:lang w:val="en-US" w:eastAsia="zh-CN"/>
        </w:rPr>
        <w:t>棉籽油</w:t>
      </w:r>
      <w:r>
        <w:rPr>
          <w:rFonts w:hint="eastAsia" w:ascii="仿宋" w:hAnsi="仿宋" w:eastAsia="仿宋" w:cs="仿宋"/>
          <w:sz w:val="32"/>
          <w:szCs w:val="32"/>
          <w:u w:val="single"/>
          <w:lang w:val="en-US" w:eastAsia="zh-CN"/>
        </w:rPr>
        <w:t>的违法所得为55元/桶*2=110元</w:t>
      </w:r>
      <w:r>
        <w:rPr>
          <w:rFonts w:hint="eastAsia" w:ascii="仿宋" w:hAnsi="仿宋" w:eastAsia="仿宋" w:cs="仿宋"/>
          <w:color w:val="auto"/>
          <w:sz w:val="32"/>
          <w:szCs w:val="32"/>
          <w:u w:val="single"/>
          <w:lang w:val="en-US" w:eastAsia="zh-CN"/>
        </w:rPr>
        <w:t>。</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rPr>
      </w:pPr>
      <w:r>
        <w:rPr>
          <w:rFonts w:hint="eastAsia" w:ascii="仿宋" w:hAnsi="仿宋" w:eastAsia="仿宋" w:cs="仿宋"/>
          <w:sz w:val="32"/>
          <w:szCs w:val="32"/>
          <w:u w:val="none"/>
          <w:lang w:val="en-US" w:eastAsia="zh-CN"/>
        </w:rPr>
        <w:t>上述事实，主要有以下证据证明：</w:t>
      </w:r>
      <w:r>
        <w:rPr>
          <w:rFonts w:hint="eastAsia" w:ascii="仿宋" w:hAnsi="仿宋" w:eastAsia="仿宋" w:cs="仿宋"/>
          <w:sz w:val="32"/>
          <w:szCs w:val="32"/>
          <w:u w:val="single"/>
        </w:rPr>
        <w:t>1.</w:t>
      </w:r>
      <w:r>
        <w:rPr>
          <w:rFonts w:hint="eastAsia" w:ascii="仿宋" w:hAnsi="仿宋" w:eastAsia="仿宋" w:cs="仿宋"/>
          <w:sz w:val="32"/>
          <w:szCs w:val="32"/>
          <w:u w:val="single"/>
          <w:lang w:eastAsia="zh-CN"/>
        </w:rPr>
        <w:t>《营业执照》复印件</w:t>
      </w:r>
      <w:r>
        <w:rPr>
          <w:rFonts w:hint="eastAsia" w:ascii="仿宋" w:hAnsi="仿宋" w:eastAsia="仿宋" w:cs="仿宋"/>
          <w:sz w:val="32"/>
          <w:szCs w:val="32"/>
          <w:u w:val="single"/>
          <w:lang w:val="en-US" w:eastAsia="zh-CN"/>
        </w:rPr>
        <w:t>1份及经营者买买提·艾买提《居民身份证》正反面复印件1份</w:t>
      </w:r>
      <w:r>
        <w:rPr>
          <w:rFonts w:hint="eastAsia" w:ascii="仿宋" w:hAnsi="仿宋" w:eastAsia="仿宋" w:cs="仿宋"/>
          <w:sz w:val="32"/>
          <w:szCs w:val="32"/>
          <w:u w:val="single"/>
          <w:lang w:eastAsia="zh-CN"/>
        </w:rPr>
        <w:t>。</w:t>
      </w:r>
    </w:p>
    <w:p>
      <w:pPr>
        <w:keepNext w:val="0"/>
        <w:keepLines w:val="0"/>
        <w:pageBreakBefore w:val="0"/>
        <w:overflowPunct/>
        <w:bidi w:val="0"/>
        <w:spacing w:line="500" w:lineRule="exact"/>
        <w:ind w:firstLine="640" w:firstLineChars="200"/>
        <w:rPr>
          <w:rFonts w:hint="eastAsia" w:ascii="仿宋" w:hAnsi="仿宋" w:eastAsia="仿宋" w:cs="仿宋"/>
          <w:sz w:val="32"/>
          <w:szCs w:val="32"/>
          <w:highlight w:val="none"/>
          <w:u w:val="single"/>
          <w:lang w:eastAsia="zh-CN"/>
        </w:rPr>
      </w:pPr>
      <w:r>
        <w:rPr>
          <w:rFonts w:hint="eastAsia" w:ascii="仿宋" w:hAnsi="仿宋" w:eastAsia="仿宋" w:cs="仿宋"/>
          <w:sz w:val="32"/>
          <w:szCs w:val="32"/>
          <w:highlight w:val="none"/>
          <w:u w:val="single"/>
        </w:rPr>
        <w:t>2.</w:t>
      </w:r>
      <w:r>
        <w:rPr>
          <w:rFonts w:hint="eastAsia" w:ascii="仿宋" w:hAnsi="仿宋" w:eastAsia="仿宋" w:cs="仿宋"/>
          <w:sz w:val="32"/>
          <w:szCs w:val="32"/>
          <w:highlight w:val="none"/>
          <w:u w:val="single"/>
          <w:lang w:eastAsia="zh-CN"/>
        </w:rPr>
        <w:t>食品安全抽样检验抽样单</w:t>
      </w:r>
      <w:r>
        <w:rPr>
          <w:rFonts w:hint="eastAsia" w:ascii="仿宋" w:hAnsi="仿宋" w:eastAsia="仿宋" w:cs="仿宋"/>
          <w:sz w:val="32"/>
          <w:szCs w:val="32"/>
          <w:highlight w:val="none"/>
          <w:u w:val="single"/>
          <w:lang w:val="en-US" w:eastAsia="zh-CN"/>
        </w:rPr>
        <w:t>1份</w:t>
      </w:r>
      <w:r>
        <w:rPr>
          <w:rFonts w:hint="eastAsia" w:ascii="仿宋" w:hAnsi="仿宋" w:eastAsia="仿宋" w:cs="仿宋"/>
          <w:sz w:val="32"/>
          <w:szCs w:val="32"/>
          <w:highlight w:val="none"/>
          <w:u w:val="single"/>
          <w:lang w:eastAsia="zh-CN"/>
        </w:rPr>
        <w:t>。</w:t>
      </w:r>
    </w:p>
    <w:p>
      <w:pPr>
        <w:keepNext w:val="0"/>
        <w:keepLines w:val="0"/>
        <w:pageBreakBefore w:val="0"/>
        <w:overflowPunct/>
        <w:bidi w:val="0"/>
        <w:spacing w:line="500" w:lineRule="exact"/>
        <w:ind w:firstLine="640" w:firstLineChars="200"/>
        <w:rPr>
          <w:rFonts w:hint="eastAsia" w:ascii="仿宋" w:hAnsi="仿宋" w:eastAsia="仿宋" w:cs="仿宋"/>
          <w:sz w:val="32"/>
          <w:szCs w:val="32"/>
          <w:highlight w:val="none"/>
          <w:u w:val="single"/>
          <w:lang w:val="en-US" w:eastAsia="zh-CN"/>
        </w:rPr>
      </w:pPr>
      <w:r>
        <w:rPr>
          <w:rFonts w:hint="eastAsia" w:ascii="仿宋" w:hAnsi="仿宋" w:eastAsia="仿宋" w:cs="仿宋"/>
          <w:sz w:val="32"/>
          <w:szCs w:val="32"/>
          <w:highlight w:val="none"/>
          <w:u w:val="single"/>
          <w:lang w:val="en-US" w:eastAsia="zh-CN"/>
        </w:rPr>
        <w:t>3.《泽普县市场监督管理局现场笔录》1份。</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4.《检验报告》（编号为：NO：2023X-J-SP26302）1份。</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5.《泽普县市场监督管理局不合格食品检验报告送达回执》2份。</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6.《泽普县市场监督管理局询问笔录》1份。</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rPr>
      </w:pPr>
      <w:r>
        <w:rPr>
          <w:rFonts w:hint="eastAsia" w:ascii="仿宋" w:hAnsi="仿宋" w:eastAsia="仿宋" w:cs="仿宋"/>
          <w:sz w:val="32"/>
          <w:szCs w:val="32"/>
          <w:u w:val="single"/>
          <w:lang w:val="en-US" w:eastAsia="zh-CN"/>
        </w:rPr>
        <w:t>7</w:t>
      </w:r>
      <w:r>
        <w:rPr>
          <w:rFonts w:hint="eastAsia" w:ascii="仿宋" w:hAnsi="仿宋" w:eastAsia="仿宋" w:cs="仿宋"/>
          <w:sz w:val="32"/>
          <w:szCs w:val="32"/>
          <w:u w:val="single"/>
        </w:rPr>
        <w:t>.</w:t>
      </w:r>
      <w:r>
        <w:rPr>
          <w:rFonts w:hint="eastAsia" w:ascii="仿宋" w:hAnsi="仿宋" w:eastAsia="仿宋" w:cs="仿宋"/>
          <w:sz w:val="32"/>
          <w:szCs w:val="32"/>
          <w:u w:val="single"/>
          <w:lang w:eastAsia="zh-CN"/>
        </w:rPr>
        <w:t>供货商营业执照和食品经营许可证</w:t>
      </w:r>
      <w:r>
        <w:rPr>
          <w:rFonts w:hint="eastAsia" w:ascii="仿宋" w:hAnsi="仿宋" w:eastAsia="仿宋" w:cs="仿宋"/>
          <w:sz w:val="32"/>
          <w:szCs w:val="32"/>
          <w:u w:val="single"/>
          <w:lang w:val="en-US" w:eastAsia="zh-CN"/>
        </w:rPr>
        <w:t>复印件</w:t>
      </w:r>
      <w:r>
        <w:rPr>
          <w:rFonts w:hint="eastAsia" w:ascii="仿宋" w:hAnsi="仿宋" w:eastAsia="仿宋" w:cs="仿宋"/>
          <w:sz w:val="32"/>
          <w:szCs w:val="32"/>
          <w:u w:val="single"/>
          <w:lang w:eastAsia="zh-CN"/>
        </w:rPr>
        <w:t>。</w:t>
      </w:r>
    </w:p>
    <w:p>
      <w:pPr>
        <w:keepNext w:val="0"/>
        <w:keepLines w:val="0"/>
        <w:pageBreakBefore w:val="0"/>
        <w:overflowPunct/>
        <w:bidi w:val="0"/>
        <w:spacing w:line="500" w:lineRule="exact"/>
        <w:ind w:firstLine="640" w:firstLineChars="200"/>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8</w:t>
      </w:r>
      <w:r>
        <w:rPr>
          <w:rFonts w:hint="eastAsia" w:ascii="仿宋" w:hAnsi="仿宋" w:eastAsia="仿宋" w:cs="仿宋"/>
          <w:sz w:val="32"/>
          <w:szCs w:val="32"/>
          <w:u w:val="single"/>
        </w:rPr>
        <w:t>.</w:t>
      </w:r>
      <w:r>
        <w:rPr>
          <w:rFonts w:hint="eastAsia" w:ascii="仿宋" w:hAnsi="仿宋" w:eastAsia="仿宋" w:cs="仿宋"/>
          <w:sz w:val="32"/>
          <w:szCs w:val="32"/>
          <w:highlight w:val="none"/>
          <w:u w:val="single"/>
          <w:lang w:val="en-US" w:eastAsia="zh-CN"/>
        </w:rPr>
        <w:t>进货票据</w:t>
      </w:r>
      <w:r>
        <w:rPr>
          <w:rFonts w:hint="eastAsia" w:ascii="仿宋" w:hAnsi="仿宋" w:eastAsia="仿宋" w:cs="仿宋"/>
          <w:sz w:val="32"/>
          <w:szCs w:val="32"/>
          <w:u w:val="single"/>
          <w:lang w:eastAsia="zh-CN"/>
        </w:rPr>
        <w:t>及该批次棉籽油的</w:t>
      </w:r>
      <w:r>
        <w:rPr>
          <w:rFonts w:hint="eastAsia" w:ascii="仿宋" w:hAnsi="仿宋" w:eastAsia="仿宋" w:cs="仿宋"/>
          <w:sz w:val="32"/>
          <w:szCs w:val="32"/>
          <w:u w:val="single"/>
          <w:lang w:val="en-US" w:eastAsia="zh-CN"/>
        </w:rPr>
        <w:t>出厂检验报告单</w:t>
      </w:r>
      <w:r>
        <w:rPr>
          <w:rFonts w:hint="eastAsia" w:ascii="仿宋" w:hAnsi="仿宋" w:eastAsia="仿宋" w:cs="仿宋"/>
          <w:sz w:val="32"/>
          <w:szCs w:val="32"/>
          <w:u w:val="single"/>
          <w:lang w:eastAsia="zh-CN"/>
        </w:rPr>
        <w:t>，</w:t>
      </w:r>
      <w:r>
        <w:rPr>
          <w:rFonts w:hint="eastAsia" w:ascii="仿宋" w:hAnsi="仿宋" w:eastAsia="仿宋" w:cs="仿宋"/>
          <w:sz w:val="32"/>
          <w:szCs w:val="32"/>
          <w:u w:val="single"/>
          <w:lang w:val="en-US" w:eastAsia="zh-CN"/>
        </w:rPr>
        <w:t>生产商的营业执照，食品生产许可证</w:t>
      </w:r>
      <w:r>
        <w:rPr>
          <w:rFonts w:hint="eastAsia" w:ascii="仿宋" w:hAnsi="仿宋" w:eastAsia="仿宋" w:cs="仿宋"/>
          <w:sz w:val="32"/>
          <w:szCs w:val="32"/>
          <w:u w:val="single"/>
          <w:lang w:eastAsia="zh-CN"/>
        </w:rPr>
        <w:t>。</w:t>
      </w:r>
    </w:p>
    <w:p>
      <w:pPr>
        <w:spacing w:line="520" w:lineRule="exact"/>
        <w:ind w:firstLine="640" w:firstLineChars="200"/>
        <w:rPr>
          <w:rFonts w:hint="eastAsia" w:ascii="仿宋" w:hAnsi="仿宋" w:eastAsia="仿宋" w:cs="仿宋"/>
          <w:color w:val="auto"/>
          <w:sz w:val="32"/>
          <w:szCs w:val="32"/>
          <w:u w:val="single"/>
          <w:lang w:val="en-US" w:eastAsia="zh-CN"/>
        </w:rPr>
      </w:pPr>
      <w:r>
        <w:rPr>
          <w:rFonts w:hint="eastAsia" w:ascii="仿宋" w:hAnsi="仿宋" w:eastAsia="仿宋" w:cs="仿宋"/>
          <w:sz w:val="32"/>
          <w:szCs w:val="32"/>
          <w:u w:val="single"/>
          <w:lang w:val="en-US" w:eastAsia="zh-CN"/>
        </w:rPr>
        <w:t>9.</w:t>
      </w:r>
      <w:r>
        <w:rPr>
          <w:rFonts w:hint="eastAsia" w:ascii="仿宋" w:hAnsi="仿宋" w:eastAsia="仿宋" w:cs="仿宋"/>
          <w:color w:val="auto"/>
          <w:sz w:val="32"/>
          <w:szCs w:val="32"/>
          <w:u w:val="single"/>
          <w:lang w:val="en-US" w:eastAsia="zh-CN"/>
        </w:rPr>
        <w:t>整改报告1份。</w:t>
      </w:r>
    </w:p>
    <w:p>
      <w:pPr>
        <w:spacing w:line="52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案件性质：</w:t>
      </w:r>
    </w:p>
    <w:p>
      <w:pPr>
        <w:spacing w:line="520" w:lineRule="exact"/>
        <w:ind w:firstLine="640" w:firstLineChars="200"/>
        <w:rPr>
          <w:rFonts w:hint="eastAsia" w:ascii="仿宋" w:hAnsi="仿宋" w:eastAsia="仿宋" w:cs="仿宋"/>
          <w:sz w:val="32"/>
          <w:szCs w:val="32"/>
          <w:u w:val="single"/>
          <w:lang w:eastAsia="zh-CN"/>
        </w:rPr>
      </w:pPr>
      <w:r>
        <w:rPr>
          <w:rFonts w:hint="eastAsia" w:ascii="仿宋" w:hAnsi="仿宋" w:eastAsia="仿宋" w:cs="仿宋"/>
          <w:b w:val="0"/>
          <w:bCs w:val="0"/>
          <w:sz w:val="32"/>
          <w:szCs w:val="32"/>
          <w:u w:val="single"/>
          <w:lang w:val="en-US" w:eastAsia="zh-CN"/>
        </w:rPr>
        <w:t>1.</w:t>
      </w:r>
      <w:r>
        <w:rPr>
          <w:rFonts w:hint="eastAsia" w:ascii="仿宋" w:hAnsi="仿宋" w:eastAsia="仿宋" w:cs="仿宋"/>
          <w:b w:val="0"/>
          <w:bCs w:val="0"/>
          <w:color w:val="auto"/>
          <w:sz w:val="32"/>
          <w:szCs w:val="32"/>
          <w:u w:val="single"/>
          <w:lang w:val="en-US" w:eastAsia="zh-CN"/>
        </w:rPr>
        <w:t>当事人的行为涉嫌违反了《中华人民共和国食品安全法》第三十四条第一款第十三项的规定：“禁止生产经营下列食品、食品添加剂、食品相关产品：……（十三）其他不符合法律、法规或者食品安全标准的食品、食品添加剂、食品相关产品违法行为；</w:t>
      </w:r>
      <w:r>
        <w:rPr>
          <w:rFonts w:hint="eastAsia" w:ascii="仿宋" w:hAnsi="仿宋" w:eastAsia="仿宋" w:cs="仿宋"/>
          <w:color w:val="auto"/>
          <w:sz w:val="32"/>
          <w:szCs w:val="32"/>
          <w:u w:val="single"/>
          <w:lang w:eastAsia="zh-CN"/>
        </w:rPr>
        <w:t>”，涉嫌构成</w:t>
      </w:r>
      <w:r>
        <w:rPr>
          <w:rFonts w:hint="eastAsia" w:ascii="仿宋" w:hAnsi="仿宋" w:eastAsia="仿宋" w:cs="仿宋"/>
          <w:sz w:val="32"/>
          <w:szCs w:val="32"/>
          <w:u w:val="single"/>
          <w:lang w:val="en-US" w:eastAsia="zh-CN"/>
        </w:rPr>
        <w:t>经营不符合食品安全标准限量的食品</w:t>
      </w:r>
      <w:r>
        <w:rPr>
          <w:rFonts w:hint="eastAsia" w:ascii="仿宋" w:hAnsi="仿宋" w:eastAsia="仿宋" w:cs="仿宋"/>
          <w:bCs/>
          <w:color w:val="auto"/>
          <w:sz w:val="32"/>
          <w:szCs w:val="32"/>
          <w:u w:val="single"/>
          <w:lang w:val="en-US" w:eastAsia="zh-CN"/>
        </w:rPr>
        <w:t>（棉籽油）</w:t>
      </w:r>
      <w:r>
        <w:rPr>
          <w:rFonts w:hint="eastAsia" w:ascii="仿宋" w:hAnsi="仿宋" w:eastAsia="仿宋" w:cs="仿宋"/>
          <w:color w:val="auto"/>
          <w:sz w:val="32"/>
          <w:szCs w:val="32"/>
          <w:u w:val="single"/>
          <w:lang w:eastAsia="zh-CN"/>
        </w:rPr>
        <w:t>违法行为。</w:t>
      </w:r>
    </w:p>
    <w:p>
      <w:pPr>
        <w:spacing w:line="520" w:lineRule="exact"/>
        <w:ind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自由裁量理由等其他需要说明的事项：</w:t>
      </w:r>
    </w:p>
    <w:p>
      <w:pPr>
        <w:spacing w:line="520" w:lineRule="exact"/>
        <w:ind w:firstLine="640" w:firstLineChars="200"/>
        <w:rPr>
          <w:rFonts w:hint="eastAsia" w:ascii="仿宋" w:hAnsi="仿宋" w:eastAsia="仿宋" w:cs="仿宋"/>
          <w:b/>
          <w:bCs w:val="0"/>
          <w:sz w:val="32"/>
          <w:szCs w:val="32"/>
        </w:rPr>
      </w:pPr>
      <w:r>
        <w:rPr>
          <w:rFonts w:hint="eastAsia" w:ascii="仿宋" w:hAnsi="仿宋" w:eastAsia="仿宋" w:cs="仿宋"/>
          <w:bCs/>
          <w:sz w:val="32"/>
          <w:szCs w:val="32"/>
          <w:u w:val="single"/>
          <w:lang w:val="en-US" w:eastAsia="zh-CN"/>
        </w:rPr>
        <w:t>因当事人系初次违法，在本案中能积极配合办案人员调查，如实陈述违法事实并主动提供证据材料，通过</w:t>
      </w:r>
      <w:r>
        <w:rPr>
          <w:rFonts w:hint="eastAsia" w:ascii="仿宋" w:hAnsi="仿宋" w:eastAsia="仿宋" w:cs="仿宋"/>
          <w:bCs/>
          <w:color w:val="auto"/>
          <w:sz w:val="32"/>
          <w:szCs w:val="32"/>
          <w:u w:val="single"/>
          <w:lang w:val="en-US" w:eastAsia="zh-CN"/>
        </w:rPr>
        <w:t>整改报告</w:t>
      </w:r>
      <w:r>
        <w:rPr>
          <w:rFonts w:hint="eastAsia" w:ascii="仿宋" w:hAnsi="仿宋" w:eastAsia="仿宋" w:cs="仿宋"/>
          <w:bCs/>
          <w:sz w:val="32"/>
          <w:szCs w:val="32"/>
          <w:u w:val="single"/>
          <w:lang w:val="en-US" w:eastAsia="zh-CN"/>
        </w:rPr>
        <w:t>发现当事人已认识到涉嫌违法行为带来的危害并承诺加强食品进货查验制度的落实，主观态度较为积极。鉴于</w:t>
      </w:r>
      <w:r>
        <w:rPr>
          <w:rFonts w:hint="eastAsia" w:ascii="仿宋" w:hAnsi="仿宋" w:eastAsia="仿宋" w:cs="仿宋"/>
          <w:sz w:val="32"/>
          <w:szCs w:val="32"/>
          <w:u w:val="single"/>
          <w:lang w:val="en-US" w:eastAsia="zh-CN"/>
        </w:rPr>
        <w:t>当事人提供了棉籽油的进货票据、供货方的营业执照，该批次棉籽油的出厂检验报告，履行了进货查验义务，有充分证据证明其不知道所采购的食品不符合食品安全标准，</w:t>
      </w:r>
      <w:r>
        <w:rPr>
          <w:rFonts w:hint="eastAsia" w:ascii="仿宋" w:hAnsi="仿宋" w:eastAsia="仿宋" w:cs="仿宋"/>
          <w:color w:val="auto"/>
          <w:sz w:val="32"/>
          <w:szCs w:val="32"/>
          <w:highlight w:val="none"/>
          <w:u w:val="single"/>
          <w:lang w:val="en-US" w:eastAsia="zh-CN"/>
        </w:rPr>
        <w:t>并如实说明其进货来源。依据《中华人民共和国食品安全法》第一百三十六条"食品经营者履行了本法规定的进货查验等义务，有充分证据证明其不知道所采购的食品不符合食品安全标准，并能如实说明其进货来源的，可以免予处罚，但应当依法没收其不符合食品安全标准的食品；造成人身、财产或者其他损害的，依法承担赔偿责任。”的规定，应依法予以免予处罚</w:t>
      </w:r>
      <w:r>
        <w:rPr>
          <w:rFonts w:hint="eastAsia" w:ascii="仿宋" w:hAnsi="仿宋" w:eastAsia="仿宋" w:cs="仿宋"/>
          <w:bCs/>
          <w:sz w:val="32"/>
          <w:szCs w:val="32"/>
          <w:u w:val="single"/>
          <w:lang w:val="en-US" w:eastAsia="zh-CN"/>
        </w:rPr>
        <w:t>。</w:t>
      </w:r>
      <w:r>
        <w:rPr>
          <w:rFonts w:hint="eastAsia" w:ascii="仿宋" w:hAnsi="仿宋" w:eastAsia="仿宋" w:cs="仿宋"/>
          <w:b/>
          <w:bCs w:val="0"/>
          <w:sz w:val="32"/>
          <w:szCs w:val="32"/>
        </w:rPr>
        <w:t>处理意见及依据：</w:t>
      </w:r>
    </w:p>
    <w:p>
      <w:pPr>
        <w:spacing w:line="520" w:lineRule="exact"/>
        <w:ind w:firstLine="640" w:firstLineChars="200"/>
        <w:rPr>
          <w:rFonts w:hint="eastAsia" w:ascii="仿宋" w:hAnsi="仿宋" w:eastAsia="仿宋" w:cs="仿宋"/>
          <w:sz w:val="32"/>
          <w:szCs w:val="32"/>
        </w:rPr>
      </w:pPr>
      <w:r>
        <w:rPr>
          <w:rFonts w:hint="eastAsia" w:ascii="仿宋" w:hAnsi="仿宋" w:eastAsia="仿宋" w:cs="仿宋"/>
          <w:bCs/>
          <w:sz w:val="32"/>
          <w:szCs w:val="32"/>
          <w:u w:val="single"/>
          <w:lang w:val="en-US" w:eastAsia="zh-CN"/>
        </w:rPr>
        <w:t>依据</w:t>
      </w:r>
      <w:r>
        <w:rPr>
          <w:rFonts w:hint="eastAsia" w:ascii="仿宋" w:hAnsi="仿宋" w:eastAsia="仿宋" w:cs="仿宋"/>
          <w:color w:val="auto"/>
          <w:sz w:val="32"/>
          <w:szCs w:val="32"/>
          <w:highlight w:val="none"/>
          <w:u w:val="single"/>
          <w:lang w:val="en-US" w:eastAsia="zh-CN"/>
        </w:rPr>
        <w:t>《中华人民共和国食品安全法》第一百三十六条"食品经营者履行了本法规定的进货查验等义务，有充分证据证明其不知道所采购的食品不符合食品安全标准，并能如实说明其进货来源的，可以免予处罚，但应当依法没收其不符合食品安全标准的食品；造成人身、财产或者其他损害的，依法承担赔偿责任。”</w:t>
      </w:r>
    </w:p>
    <w:p>
      <w:pPr>
        <w:pStyle w:val="2"/>
        <w:tabs>
          <w:tab w:val="left" w:pos="8395"/>
        </w:tabs>
        <w:spacing w:line="540" w:lineRule="exact"/>
        <w:ind w:firstLine="627" w:firstLineChars="196"/>
        <w:rPr>
          <w:rFonts w:hint="eastAsia" w:ascii="黑体" w:hAnsi="黑体" w:eastAsia="黑体" w:cs="黑体"/>
          <w:bCs/>
          <w:color w:val="auto"/>
        </w:rPr>
      </w:pPr>
      <w:r>
        <w:rPr>
          <w:rFonts w:hint="eastAsia" w:ascii="黑体" w:hAnsi="黑体" w:eastAsia="黑体" w:cs="黑体"/>
          <w:bCs/>
          <w:color w:val="auto"/>
        </w:rPr>
        <w:t>依据</w:t>
      </w:r>
      <w:r>
        <w:rPr>
          <w:rFonts w:hint="eastAsia" w:ascii="黑体" w:hAnsi="黑体" w:eastAsia="黑体" w:cs="黑体"/>
          <w:bCs/>
          <w:color w:val="auto"/>
          <w:lang w:val="en-US" w:eastAsia="zh-CN"/>
        </w:rPr>
        <w:t>《中华人民共和国食品安全法》第一百三十六条</w:t>
      </w:r>
      <w:r>
        <w:rPr>
          <w:rFonts w:hint="eastAsia" w:ascii="黑体" w:hAnsi="黑体" w:eastAsia="黑体" w:cs="黑体"/>
          <w:bCs/>
          <w:color w:val="auto"/>
        </w:rPr>
        <w:t>的规定，对你（单位）进行教育，具体内容如下：</w:t>
      </w:r>
    </w:p>
    <w:p>
      <w:pPr>
        <w:keepNext w:val="0"/>
        <w:keepLines w:val="0"/>
        <w:pageBreakBefore w:val="0"/>
        <w:widowControl w:val="0"/>
        <w:numPr>
          <w:ilvl w:val="0"/>
          <w:numId w:val="0"/>
        </w:numPr>
        <w:kinsoku/>
        <w:wordWrap w:val="0"/>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u w:val="single"/>
          <w:lang w:val="en-US" w:eastAsia="zh-CN"/>
        </w:rPr>
      </w:pPr>
      <w:r>
        <w:rPr>
          <w:rFonts w:hint="eastAsia" w:ascii="仿宋" w:hAnsi="仿宋" w:eastAsia="仿宋" w:cs="仿宋"/>
          <w:sz w:val="32"/>
          <w:szCs w:val="32"/>
          <w:u w:val="single"/>
          <w:lang w:val="en-US" w:eastAsia="zh-CN"/>
        </w:rPr>
        <w:t>1. 不予行政处罚。</w:t>
      </w:r>
    </w:p>
    <w:p>
      <w:pPr>
        <w:pStyle w:val="2"/>
        <w:tabs>
          <w:tab w:val="left" w:pos="8395"/>
        </w:tabs>
        <w:spacing w:line="540" w:lineRule="exact"/>
        <w:ind w:firstLine="588" w:firstLineChars="196"/>
        <w:rPr>
          <w:rFonts w:hint="eastAsia" w:ascii="Times New Roman" w:hAnsi="Times New Roman" w:eastAsia="仿宋_GB2312" w:cs="仿宋_GB2312"/>
          <w:color w:val="auto"/>
          <w:sz w:val="32"/>
          <w:szCs w:val="32"/>
        </w:rPr>
      </w:pPr>
      <w:r>
        <w:rPr>
          <w:rFonts w:hint="eastAsia" w:ascii="仿宋" w:hAnsi="仿宋" w:eastAsia="仿宋" w:cs="仿宋"/>
          <w:spacing w:val="0"/>
          <w:kern w:val="0"/>
          <w:sz w:val="30"/>
          <w:szCs w:val="30"/>
          <w:u w:val="none"/>
          <w:lang w:val="en-US" w:eastAsia="zh-CN"/>
        </w:rPr>
        <w:t>如你（单位）不服本行政处罚决定，可以在收到本行政处罚决定书之日起六十日内向</w:t>
      </w:r>
      <w:r>
        <w:rPr>
          <w:rFonts w:hint="eastAsia" w:ascii="仿宋" w:hAnsi="仿宋" w:eastAsia="仿宋" w:cs="仿宋"/>
          <w:spacing w:val="0"/>
          <w:kern w:val="0"/>
          <w:sz w:val="30"/>
          <w:szCs w:val="30"/>
          <w:u w:val="single"/>
          <w:lang w:val="en-US" w:eastAsia="zh-CN"/>
        </w:rPr>
        <w:t>泽普县人民政府</w:t>
      </w:r>
      <w:r>
        <w:rPr>
          <w:rFonts w:hint="eastAsia" w:ascii="仿宋" w:hAnsi="仿宋" w:eastAsia="仿宋" w:cs="仿宋"/>
          <w:spacing w:val="0"/>
          <w:kern w:val="0"/>
          <w:sz w:val="30"/>
          <w:szCs w:val="30"/>
          <w:u w:val="none"/>
          <w:lang w:val="en-US" w:eastAsia="zh-CN"/>
        </w:rPr>
        <w:t>申请行政复议；也可以在六个月内依法向</w:t>
      </w:r>
      <w:r>
        <w:rPr>
          <w:rFonts w:hint="eastAsia" w:ascii="仿宋" w:hAnsi="仿宋" w:eastAsia="仿宋" w:cs="仿宋"/>
          <w:spacing w:val="0"/>
          <w:kern w:val="0"/>
          <w:sz w:val="30"/>
          <w:szCs w:val="30"/>
          <w:u w:val="single"/>
          <w:lang w:val="en-US" w:eastAsia="zh-CN"/>
        </w:rPr>
        <w:t>泽普县</w:t>
      </w:r>
      <w:r>
        <w:rPr>
          <w:rFonts w:hint="eastAsia" w:ascii="仿宋" w:hAnsi="仿宋" w:eastAsia="仿宋" w:cs="仿宋"/>
          <w:spacing w:val="0"/>
          <w:kern w:val="0"/>
          <w:sz w:val="30"/>
          <w:szCs w:val="30"/>
          <w:u w:val="none"/>
          <w:lang w:val="en-US" w:eastAsia="zh-CN"/>
        </w:rPr>
        <w:t>人民法院提起行政诉讼。申请行政复议或者提起行政诉讼期间，行政处罚不停止执行。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right"/>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 w:cs="仿宋_GB2312"/>
          <w:spacing w:val="0"/>
          <w:kern w:val="0"/>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right"/>
        <w:textAlignment w:val="auto"/>
        <w:rPr>
          <w:rFonts w:hint="eastAsia" w:ascii="仿宋_GB2312" w:hAnsi="仿宋_GB2312" w:eastAsia="仿宋" w:cs="仿宋_GB2312"/>
          <w:spacing w:val="0"/>
          <w:kern w:val="0"/>
          <w:sz w:val="32"/>
          <w:szCs w:val="32"/>
          <w:u w:val="none"/>
          <w:lang w:val="en-US" w:eastAsia="zh-CN"/>
        </w:rPr>
      </w:pPr>
      <w:bookmarkStart w:id="1" w:name="_GoBack"/>
      <w:bookmarkEnd w:id="1"/>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right"/>
        <w:textAlignment w:val="auto"/>
        <w:rPr>
          <w:rFonts w:hint="eastAsia" w:ascii="仿宋_GB2312" w:hAnsi="仿宋_GB2312" w:eastAsia="仿宋" w:cs="仿宋_GB2312"/>
          <w:spacing w:val="0"/>
          <w:kern w:val="0"/>
          <w:sz w:val="32"/>
          <w:szCs w:val="32"/>
          <w:u w:val="none"/>
          <w:lang w:val="en-US" w:eastAsia="zh-CN"/>
        </w:rPr>
      </w:pPr>
      <w:r>
        <w:rPr>
          <w:rFonts w:hint="eastAsia" w:ascii="仿宋_GB2312" w:hAnsi="仿宋_GB2312" w:eastAsia="仿宋" w:cs="仿宋_GB2312"/>
          <w:spacing w:val="0"/>
          <w:kern w:val="0"/>
          <w:sz w:val="32"/>
          <w:szCs w:val="32"/>
          <w:u w:val="none"/>
          <w:lang w:val="en-US" w:eastAsia="zh-CN"/>
        </w:rPr>
        <w:t>泽普县市</w:t>
      </w:r>
      <w:r>
        <w:rPr>
          <w:rFonts w:hint="eastAsia" w:ascii="仿宋" w:hAnsi="仿宋" w:eastAsia="仿宋" w:cs="仿宋"/>
          <w:sz w:val="32"/>
          <w:szCs w:val="32"/>
          <w:lang w:val="en-US" w:eastAsia="zh-CN"/>
        </w:rPr>
        <w:drawing>
          <wp:anchor distT="0" distB="0" distL="114300" distR="114300" simplePos="0" relativeHeight="251660288" behindDoc="1" locked="0" layoutInCell="1" allowOverlap="1">
            <wp:simplePos x="0" y="0"/>
            <wp:positionH relativeFrom="column">
              <wp:posOffset>4479925</wp:posOffset>
            </wp:positionH>
            <wp:positionV relativeFrom="paragraph">
              <wp:posOffset>8338820</wp:posOffset>
            </wp:positionV>
            <wp:extent cx="1468120" cy="1401445"/>
            <wp:effectExtent l="0" t="0" r="17780" b="8255"/>
            <wp:wrapNone/>
            <wp:docPr id="7" name="图片 6" descr="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章"/>
                    <pic:cNvPicPr>
                      <a:picLocks noChangeAspect="1"/>
                    </pic:cNvPicPr>
                  </pic:nvPicPr>
                  <pic:blipFill>
                    <a:blip r:embed="rId4"/>
                    <a:stretch>
                      <a:fillRect/>
                    </a:stretch>
                  </pic:blipFill>
                  <pic:spPr>
                    <a:xfrm>
                      <a:off x="0" y="0"/>
                      <a:ext cx="1468120" cy="1401445"/>
                    </a:xfrm>
                    <a:prstGeom prst="rect">
                      <a:avLst/>
                    </a:prstGeom>
                    <a:noFill/>
                    <a:ln>
                      <a:noFill/>
                    </a:ln>
                  </pic:spPr>
                </pic:pic>
              </a:graphicData>
            </a:graphic>
          </wp:anchor>
        </w:drawing>
      </w:r>
      <w:r>
        <w:rPr>
          <w:rFonts w:hint="eastAsia" w:ascii="仿宋" w:hAnsi="仿宋" w:eastAsia="仿宋" w:cs="仿宋"/>
          <w:sz w:val="32"/>
          <w:szCs w:val="32"/>
          <w:lang w:val="en-US" w:eastAsia="zh-CN"/>
        </w:rPr>
        <w:drawing>
          <wp:anchor distT="0" distB="0" distL="114300" distR="114300" simplePos="0" relativeHeight="251659264" behindDoc="1" locked="0" layoutInCell="1" allowOverlap="1">
            <wp:simplePos x="0" y="0"/>
            <wp:positionH relativeFrom="column">
              <wp:posOffset>4327525</wp:posOffset>
            </wp:positionH>
            <wp:positionV relativeFrom="paragraph">
              <wp:posOffset>8186420</wp:posOffset>
            </wp:positionV>
            <wp:extent cx="1468120" cy="1401445"/>
            <wp:effectExtent l="0" t="0" r="17780" b="8255"/>
            <wp:wrapNone/>
            <wp:docPr id="6" name="图片 5" descr="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章"/>
                    <pic:cNvPicPr>
                      <a:picLocks noChangeAspect="1"/>
                    </pic:cNvPicPr>
                  </pic:nvPicPr>
                  <pic:blipFill>
                    <a:blip r:embed="rId4"/>
                    <a:stretch>
                      <a:fillRect/>
                    </a:stretch>
                  </pic:blipFill>
                  <pic:spPr>
                    <a:xfrm>
                      <a:off x="0" y="0"/>
                      <a:ext cx="1468120" cy="1401445"/>
                    </a:xfrm>
                    <a:prstGeom prst="rect">
                      <a:avLst/>
                    </a:prstGeom>
                    <a:noFill/>
                    <a:ln>
                      <a:noFill/>
                    </a:ln>
                  </pic:spPr>
                </pic:pic>
              </a:graphicData>
            </a:graphic>
          </wp:anchor>
        </w:drawing>
      </w:r>
      <w:r>
        <w:rPr>
          <w:rFonts w:hint="eastAsia" w:ascii="仿宋_GB2312" w:hAnsi="仿宋_GB2312" w:eastAsia="仿宋" w:cs="仿宋_GB2312"/>
          <w:spacing w:val="0"/>
          <w:kern w:val="0"/>
          <w:sz w:val="32"/>
          <w:szCs w:val="32"/>
          <w:u w:val="none"/>
          <w:lang w:val="en-US" w:eastAsia="zh-CN"/>
        </w:rPr>
        <w:t>场监</w:t>
      </w:r>
      <w:r>
        <w:rPr>
          <w:rFonts w:hint="eastAsia" w:ascii="仿宋" w:hAnsi="仿宋" w:eastAsia="仿宋" w:cs="仿宋"/>
          <w:sz w:val="32"/>
          <w:szCs w:val="32"/>
          <w:lang w:val="en-US" w:eastAsia="zh-CN"/>
        </w:rPr>
        <w:drawing>
          <wp:anchor distT="0" distB="0" distL="114300" distR="114300" simplePos="0" relativeHeight="251661312" behindDoc="1" locked="0" layoutInCell="1" allowOverlap="1">
            <wp:simplePos x="0" y="0"/>
            <wp:positionH relativeFrom="column">
              <wp:posOffset>4632325</wp:posOffset>
            </wp:positionH>
            <wp:positionV relativeFrom="paragraph">
              <wp:posOffset>8491220</wp:posOffset>
            </wp:positionV>
            <wp:extent cx="1468120" cy="1401445"/>
            <wp:effectExtent l="0" t="0" r="17780" b="8255"/>
            <wp:wrapNone/>
            <wp:docPr id="8" name="图片 7" descr="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章"/>
                    <pic:cNvPicPr>
                      <a:picLocks noChangeAspect="1"/>
                    </pic:cNvPicPr>
                  </pic:nvPicPr>
                  <pic:blipFill>
                    <a:blip r:embed="rId4"/>
                    <a:stretch>
                      <a:fillRect/>
                    </a:stretch>
                  </pic:blipFill>
                  <pic:spPr>
                    <a:xfrm>
                      <a:off x="0" y="0"/>
                      <a:ext cx="1468120" cy="1401445"/>
                    </a:xfrm>
                    <a:prstGeom prst="rect">
                      <a:avLst/>
                    </a:prstGeom>
                    <a:noFill/>
                    <a:ln>
                      <a:noFill/>
                    </a:ln>
                  </pic:spPr>
                </pic:pic>
              </a:graphicData>
            </a:graphic>
          </wp:anchor>
        </w:drawing>
      </w:r>
      <w:r>
        <w:rPr>
          <w:rFonts w:hint="eastAsia" w:ascii="仿宋_GB2312" w:hAnsi="仿宋_GB2312" w:eastAsia="仿宋" w:cs="仿宋_GB2312"/>
          <w:spacing w:val="0"/>
          <w:kern w:val="0"/>
          <w:sz w:val="32"/>
          <w:szCs w:val="32"/>
          <w:u w:val="none"/>
          <w:lang w:val="en-US" w:eastAsia="zh-CN"/>
        </w:rPr>
        <w:t>督管理局</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center"/>
        <w:textAlignment w:val="auto"/>
        <w:rPr>
          <w:rFonts w:hint="eastAsia" w:ascii="仿宋_GB2312" w:hAnsi="仿宋_GB2312" w:eastAsia="仿宋" w:cs="仿宋_GB2312"/>
          <w:spacing w:val="0"/>
          <w:kern w:val="0"/>
          <w:sz w:val="32"/>
          <w:szCs w:val="32"/>
          <w:u w:val="none"/>
          <w:lang w:val="en-US" w:eastAsia="zh-CN"/>
        </w:rPr>
      </w:pPr>
      <w:r>
        <w:rPr>
          <w:rFonts w:hint="eastAsia" w:ascii="仿宋_GB2312" w:hAnsi="仿宋_GB2312" w:eastAsia="仿宋" w:cs="仿宋_GB2312"/>
          <w:spacing w:val="0"/>
          <w:kern w:val="0"/>
          <w:sz w:val="32"/>
          <w:szCs w:val="32"/>
          <w:u w:val="none"/>
          <w:lang w:val="en-US" w:eastAsia="zh-CN"/>
        </w:rPr>
        <w:t xml:space="preserve">                                 (印章)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0"/>
        <w:jc w:val="right"/>
        <w:textAlignment w:val="auto"/>
        <w:rPr>
          <w:rFonts w:hint="eastAsia" w:ascii="仿宋_GB2312" w:hAnsi="仿宋_GB2312" w:eastAsia="仿宋" w:cs="仿宋_GB2312"/>
          <w:spacing w:val="0"/>
          <w:kern w:val="0"/>
          <w:sz w:val="32"/>
          <w:szCs w:val="32"/>
          <w:u w:val="none"/>
          <w:lang w:val="en-US" w:eastAsia="zh-CN"/>
        </w:rPr>
      </w:pPr>
      <w:r>
        <w:rPr>
          <w:rFonts w:hint="eastAsia" w:ascii="仿宋_GB2312" w:hAnsi="仿宋_GB2312" w:eastAsia="仿宋" w:cs="仿宋_GB2312"/>
          <w:spacing w:val="0"/>
          <w:kern w:val="0"/>
          <w:sz w:val="32"/>
          <w:szCs w:val="32"/>
          <w:u w:val="none"/>
          <w:lang w:val="en-US" w:eastAsia="zh-CN"/>
        </w:rPr>
        <w:t>2023年12月22日</w:t>
      </w:r>
    </w:p>
    <w:p>
      <w:pPr>
        <w:keepNext w:val="0"/>
        <w:keepLines w:val="0"/>
        <w:pageBreakBefore w:val="0"/>
        <w:widowControl/>
        <w:kinsoku w:val="0"/>
        <w:wordWrap/>
        <w:overflowPunct/>
        <w:topLinePunct w:val="0"/>
        <w:autoSpaceDE w:val="0"/>
        <w:autoSpaceDN w:val="0"/>
        <w:bidi w:val="0"/>
        <w:adjustRightInd w:val="0"/>
        <w:snapToGrid w:val="0"/>
        <w:spacing w:before="157" w:beforeLines="50" w:line="500" w:lineRule="exact"/>
        <w:ind w:firstLine="403"/>
        <w:textAlignment w:val="baseline"/>
        <w:rPr>
          <w:rFonts w:ascii="黑体" w:hAnsi="黑体" w:eastAsia="黑体" w:cs="黑体"/>
          <w:color w:val="231F20"/>
          <w:spacing w:val="-31"/>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157" w:beforeLines="50" w:line="500" w:lineRule="exact"/>
        <w:ind w:firstLine="403"/>
        <w:textAlignment w:val="baseline"/>
        <w:rPr>
          <w:rFonts w:ascii="Microsoft JhengHei"/>
          <w:sz w:val="21"/>
        </w:rPr>
      </w:pPr>
      <w:r>
        <w:rPr>
          <w:rFonts w:ascii="黑体" w:hAnsi="黑体" w:eastAsia="黑体" w:cs="黑体"/>
          <w:color w:val="231F20"/>
          <w:spacing w:val="-31"/>
          <w:sz w:val="32"/>
          <w:szCs w:val="32"/>
        </w:rPr>
        <w:t>（市场监督管理部门将依法向社会公开行政处罚决定信息）</w:t>
      </w:r>
    </w:p>
    <w:p>
      <w:pPr>
        <w:keepNext w:val="0"/>
        <w:keepLines w:val="0"/>
        <w:pageBreakBefore w:val="0"/>
        <w:overflowPunct/>
        <w:topLinePunct w:val="0"/>
        <w:bidi w:val="0"/>
        <w:spacing w:line="500" w:lineRule="exact"/>
        <w:rPr>
          <w:rFonts w:ascii="Microsoft JhengHei"/>
          <w:sz w:val="21"/>
        </w:rPr>
      </w:pPr>
    </w:p>
    <w:p>
      <w:pPr>
        <w:keepNext w:val="0"/>
        <w:keepLines w:val="0"/>
        <w:pageBreakBefore w:val="0"/>
        <w:overflowPunct/>
        <w:topLinePunct w:val="0"/>
        <w:bidi w:val="0"/>
        <w:spacing w:line="500" w:lineRule="exact"/>
        <w:textAlignment w:val="center"/>
      </w:pPr>
      <w:r>
        <w:drawing>
          <wp:inline distT="0" distB="0" distL="0" distR="0">
            <wp:extent cx="5550535" cy="15875"/>
            <wp:effectExtent l="0" t="0" r="0" b="0"/>
            <wp:docPr id="229" name="IM 229"/>
            <wp:cNvGraphicFramePr/>
            <a:graphic xmlns:a="http://schemas.openxmlformats.org/drawingml/2006/main">
              <a:graphicData uri="http://schemas.openxmlformats.org/drawingml/2006/picture">
                <pic:pic xmlns:pic="http://schemas.openxmlformats.org/drawingml/2006/picture">
                  <pic:nvPicPr>
                    <pic:cNvPr id="229" name="IM 229"/>
                    <pic:cNvPicPr/>
                  </pic:nvPicPr>
                  <pic:blipFill>
                    <a:blip r:embed="rId5"/>
                    <a:stretch>
                      <a:fillRect/>
                    </a:stretch>
                  </pic:blipFill>
                  <pic:spPr>
                    <a:xfrm>
                      <a:off x="0" y="0"/>
                      <a:ext cx="5550535" cy="16509"/>
                    </a:xfrm>
                    <a:prstGeom prst="rect">
                      <a:avLst/>
                    </a:prstGeom>
                  </pic:spPr>
                </pic:pic>
              </a:graphicData>
            </a:graphic>
          </wp:inline>
        </w:drawing>
      </w:r>
    </w:p>
    <w:p>
      <w:pPr>
        <w:widowControl/>
        <w:jc w:val="left"/>
        <w:rPr>
          <w:rFonts w:ascii="方正仿宋_GBK" w:hAnsi="方正仿宋_GBK" w:eastAsia="方正仿宋_GBK" w:cs="方正仿宋_GBK"/>
          <w:sz w:val="24"/>
        </w:rPr>
      </w:pPr>
      <w:r>
        <w:rPr>
          <w:rFonts w:ascii="仿宋" w:hAnsi="仿宋" w:eastAsia="仿宋" w:cs="仿宋"/>
          <w:spacing w:val="-10"/>
          <w:sz w:val="32"/>
          <w:szCs w:val="32"/>
        </w:rPr>
        <w:t>本文书一式</w:t>
      </w:r>
      <w:r>
        <w:rPr>
          <w:rFonts w:ascii="仿宋" w:hAnsi="仿宋" w:eastAsia="仿宋" w:cs="仿宋"/>
          <w:spacing w:val="6"/>
          <w:sz w:val="32"/>
          <w:szCs w:val="32"/>
          <w:u w:val="single" w:color="auto"/>
        </w:rPr>
        <w:t xml:space="preserve">  </w:t>
      </w:r>
      <w:r>
        <w:rPr>
          <w:rFonts w:hint="eastAsia" w:ascii="仿宋" w:hAnsi="仿宋" w:eastAsia="仿宋" w:cs="仿宋"/>
          <w:spacing w:val="6"/>
          <w:sz w:val="32"/>
          <w:szCs w:val="32"/>
          <w:u w:val="single" w:color="auto"/>
          <w:lang w:val="en-US" w:eastAsia="zh-CN"/>
        </w:rPr>
        <w:t>2</w:t>
      </w:r>
      <w:r>
        <w:rPr>
          <w:rFonts w:ascii="仿宋" w:hAnsi="仿宋" w:eastAsia="仿宋" w:cs="仿宋"/>
          <w:spacing w:val="6"/>
          <w:sz w:val="32"/>
          <w:szCs w:val="32"/>
          <w:u w:val="single" w:color="auto"/>
        </w:rPr>
        <w:t xml:space="preserve">  </w:t>
      </w:r>
      <w:r>
        <w:rPr>
          <w:rFonts w:ascii="仿宋" w:hAnsi="仿宋" w:eastAsia="仿宋" w:cs="仿宋"/>
          <w:spacing w:val="-10"/>
          <w:sz w:val="32"/>
          <w:szCs w:val="32"/>
        </w:rPr>
        <w:t>份，</w:t>
      </w:r>
      <w:r>
        <w:rPr>
          <w:rFonts w:ascii="仿宋" w:hAnsi="仿宋" w:eastAsia="仿宋" w:cs="仿宋"/>
          <w:spacing w:val="20"/>
          <w:sz w:val="32"/>
          <w:szCs w:val="32"/>
          <w:u w:val="single" w:color="auto"/>
        </w:rPr>
        <w:t xml:space="preserve">  </w:t>
      </w:r>
      <w:r>
        <w:rPr>
          <w:rFonts w:hint="eastAsia" w:ascii="仿宋" w:hAnsi="仿宋" w:eastAsia="仿宋" w:cs="仿宋"/>
          <w:spacing w:val="20"/>
          <w:sz w:val="32"/>
          <w:szCs w:val="32"/>
          <w:u w:val="single" w:color="auto"/>
          <w:lang w:val="en-US" w:eastAsia="zh-CN"/>
        </w:rPr>
        <w:t>1</w:t>
      </w:r>
      <w:r>
        <w:rPr>
          <w:rFonts w:ascii="仿宋" w:hAnsi="仿宋" w:eastAsia="仿宋" w:cs="仿宋"/>
          <w:spacing w:val="20"/>
          <w:sz w:val="32"/>
          <w:szCs w:val="32"/>
          <w:u w:val="single" w:color="auto"/>
        </w:rPr>
        <w:t xml:space="preserve"> </w:t>
      </w:r>
      <w:r>
        <w:rPr>
          <w:rFonts w:ascii="仿宋" w:hAnsi="仿宋" w:eastAsia="仿宋" w:cs="仿宋"/>
          <w:spacing w:val="-10"/>
          <w:sz w:val="32"/>
          <w:szCs w:val="32"/>
        </w:rPr>
        <w:t>份送达，一份归档，</w:t>
      </w:r>
      <w:r>
        <w:rPr>
          <w:rFonts w:ascii="仿宋" w:hAnsi="仿宋" w:eastAsia="仿宋" w:cs="仿宋"/>
          <w:spacing w:val="3"/>
          <w:sz w:val="32"/>
          <w:szCs w:val="32"/>
          <w:u w:val="single" w:color="auto"/>
        </w:rPr>
        <w:t xml:space="preserve">  </w:t>
      </w:r>
      <w:r>
        <w:rPr>
          <w:rFonts w:hint="eastAsia" w:ascii="仿宋" w:hAnsi="仿宋" w:eastAsia="仿宋" w:cs="仿宋"/>
          <w:spacing w:val="3"/>
          <w:sz w:val="32"/>
          <w:szCs w:val="32"/>
          <w:u w:val="single" w:color="auto"/>
          <w:lang w:val="en-US" w:eastAsia="zh-CN"/>
        </w:rPr>
        <w:t>/</w:t>
      </w:r>
      <w:r>
        <w:rPr>
          <w:rFonts w:ascii="仿宋" w:hAnsi="仿宋" w:eastAsia="仿宋" w:cs="仿宋"/>
          <w:spacing w:val="3"/>
          <w:sz w:val="32"/>
          <w:szCs w:val="32"/>
          <w:u w:val="single" w:color="auto"/>
        </w:rPr>
        <w:t xml:space="preserve">     </w:t>
      </w:r>
      <w:r>
        <w:rPr>
          <w:rFonts w:hint="eastAsia" w:ascii="仿宋" w:hAnsi="仿宋" w:eastAsia="仿宋" w:cs="仿宋"/>
          <w:spacing w:val="3"/>
          <w:sz w:val="32"/>
          <w:szCs w:val="32"/>
          <w:u w:val="single" w:color="auto"/>
          <w:lang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小标宋_GBK">
    <w:panose1 w:val="03000502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Microsoft JhengHei">
    <w:panose1 w:val="020B0604030504040204"/>
    <w:charset w:val="88"/>
    <w:family w:val="auto"/>
    <w:pitch w:val="default"/>
    <w:sig w:usb0="00000087" w:usb1="28AF4000" w:usb2="00000016" w:usb3="00000000" w:csb0="00100009"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auto"/>
    <w:pitch w:val="default"/>
    <w:sig w:usb0="00000000" w:usb1="00000000" w:usb2="00000000" w:usb3="00000000" w:csb0="00040000" w:csb1="00000000"/>
  </w:font>
  <w:font w:name="Mongolian Baiti">
    <w:panose1 w:val="03000500000000000000"/>
    <w:charset w:val="00"/>
    <w:family w:val="script"/>
    <w:pitch w:val="default"/>
    <w:sig w:usb0="80000023" w:usb1="00000000" w:usb2="00020000" w:usb3="00000000" w:csb0="0000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hjYmUyNWJkNWRkNDU0NWM1ZWM4MTQwNDk2ZTUwZTYifQ=="/>
  </w:docVars>
  <w:rsids>
    <w:rsidRoot w:val="0075798C"/>
    <w:rsid w:val="00002DEA"/>
    <w:rsid w:val="000454B8"/>
    <w:rsid w:val="0005682C"/>
    <w:rsid w:val="0007121F"/>
    <w:rsid w:val="000941C6"/>
    <w:rsid w:val="000A73B1"/>
    <w:rsid w:val="000B235A"/>
    <w:rsid w:val="000D18CC"/>
    <w:rsid w:val="00193544"/>
    <w:rsid w:val="001D4404"/>
    <w:rsid w:val="0020247F"/>
    <w:rsid w:val="0021791A"/>
    <w:rsid w:val="00235807"/>
    <w:rsid w:val="00305CAA"/>
    <w:rsid w:val="00310002"/>
    <w:rsid w:val="0037689F"/>
    <w:rsid w:val="0038660E"/>
    <w:rsid w:val="00392C9A"/>
    <w:rsid w:val="00393501"/>
    <w:rsid w:val="003A78B0"/>
    <w:rsid w:val="003D62BB"/>
    <w:rsid w:val="00441AA1"/>
    <w:rsid w:val="00484DE7"/>
    <w:rsid w:val="004971CD"/>
    <w:rsid w:val="004A653D"/>
    <w:rsid w:val="004E2439"/>
    <w:rsid w:val="00505D5E"/>
    <w:rsid w:val="005215A1"/>
    <w:rsid w:val="00526CDC"/>
    <w:rsid w:val="00544913"/>
    <w:rsid w:val="00570671"/>
    <w:rsid w:val="00571F45"/>
    <w:rsid w:val="005D08B2"/>
    <w:rsid w:val="005D5B72"/>
    <w:rsid w:val="005E186F"/>
    <w:rsid w:val="005E31A8"/>
    <w:rsid w:val="005F796D"/>
    <w:rsid w:val="006126AC"/>
    <w:rsid w:val="00631AC9"/>
    <w:rsid w:val="00640190"/>
    <w:rsid w:val="00650687"/>
    <w:rsid w:val="00656E43"/>
    <w:rsid w:val="006801F6"/>
    <w:rsid w:val="006A7B14"/>
    <w:rsid w:val="00705BFF"/>
    <w:rsid w:val="00717998"/>
    <w:rsid w:val="0073548C"/>
    <w:rsid w:val="007448DA"/>
    <w:rsid w:val="0075798C"/>
    <w:rsid w:val="00763223"/>
    <w:rsid w:val="007A1A7F"/>
    <w:rsid w:val="007E7082"/>
    <w:rsid w:val="00821F63"/>
    <w:rsid w:val="00827AF5"/>
    <w:rsid w:val="0083040E"/>
    <w:rsid w:val="008315F6"/>
    <w:rsid w:val="00840E11"/>
    <w:rsid w:val="00843121"/>
    <w:rsid w:val="0085785E"/>
    <w:rsid w:val="00872C3A"/>
    <w:rsid w:val="008770AB"/>
    <w:rsid w:val="00912866"/>
    <w:rsid w:val="00946009"/>
    <w:rsid w:val="0095381B"/>
    <w:rsid w:val="00976CD7"/>
    <w:rsid w:val="009A443B"/>
    <w:rsid w:val="00A058B9"/>
    <w:rsid w:val="00A13905"/>
    <w:rsid w:val="00A13F37"/>
    <w:rsid w:val="00A21D9B"/>
    <w:rsid w:val="00A515F7"/>
    <w:rsid w:val="00A71F1B"/>
    <w:rsid w:val="00AA6A16"/>
    <w:rsid w:val="00AE7F5A"/>
    <w:rsid w:val="00AF0AC2"/>
    <w:rsid w:val="00B035F1"/>
    <w:rsid w:val="00B35203"/>
    <w:rsid w:val="00B47D31"/>
    <w:rsid w:val="00BE7D32"/>
    <w:rsid w:val="00C45247"/>
    <w:rsid w:val="00C80E4E"/>
    <w:rsid w:val="00CA79AF"/>
    <w:rsid w:val="00D015F3"/>
    <w:rsid w:val="00D35F53"/>
    <w:rsid w:val="00D37155"/>
    <w:rsid w:val="00D5158B"/>
    <w:rsid w:val="00E322A3"/>
    <w:rsid w:val="00E60AE5"/>
    <w:rsid w:val="00E67D94"/>
    <w:rsid w:val="00E737B3"/>
    <w:rsid w:val="00EA2C71"/>
    <w:rsid w:val="00EA64D3"/>
    <w:rsid w:val="00EF2D41"/>
    <w:rsid w:val="00F12217"/>
    <w:rsid w:val="00F6708D"/>
    <w:rsid w:val="00FC2638"/>
    <w:rsid w:val="035A72BF"/>
    <w:rsid w:val="056326BB"/>
    <w:rsid w:val="087C5F39"/>
    <w:rsid w:val="0991537B"/>
    <w:rsid w:val="0B2B5170"/>
    <w:rsid w:val="0E0448B4"/>
    <w:rsid w:val="0E9E29B6"/>
    <w:rsid w:val="0FC14530"/>
    <w:rsid w:val="10A7257F"/>
    <w:rsid w:val="113868F6"/>
    <w:rsid w:val="11AC3ABF"/>
    <w:rsid w:val="13B03DF5"/>
    <w:rsid w:val="13BC1AF2"/>
    <w:rsid w:val="179320E3"/>
    <w:rsid w:val="17A40733"/>
    <w:rsid w:val="180A0780"/>
    <w:rsid w:val="18222D82"/>
    <w:rsid w:val="19A075E2"/>
    <w:rsid w:val="19D6619F"/>
    <w:rsid w:val="1A910543"/>
    <w:rsid w:val="1AA55A63"/>
    <w:rsid w:val="1B7202A9"/>
    <w:rsid w:val="1CB00A08"/>
    <w:rsid w:val="1D056BA7"/>
    <w:rsid w:val="1D1C7EF7"/>
    <w:rsid w:val="20E27B73"/>
    <w:rsid w:val="24EB4489"/>
    <w:rsid w:val="262872F1"/>
    <w:rsid w:val="271B0579"/>
    <w:rsid w:val="277976C4"/>
    <w:rsid w:val="28C72906"/>
    <w:rsid w:val="2A1610CF"/>
    <w:rsid w:val="2C59717D"/>
    <w:rsid w:val="2C7929C0"/>
    <w:rsid w:val="2CCE604E"/>
    <w:rsid w:val="2FBB6FC4"/>
    <w:rsid w:val="35B36AE2"/>
    <w:rsid w:val="365807E8"/>
    <w:rsid w:val="365A7599"/>
    <w:rsid w:val="36EC373E"/>
    <w:rsid w:val="38490F18"/>
    <w:rsid w:val="39BD2A1C"/>
    <w:rsid w:val="39EF1D2D"/>
    <w:rsid w:val="3A021163"/>
    <w:rsid w:val="3A2E433E"/>
    <w:rsid w:val="3B5D6970"/>
    <w:rsid w:val="3E87253D"/>
    <w:rsid w:val="40346FD3"/>
    <w:rsid w:val="40F22E8C"/>
    <w:rsid w:val="41430879"/>
    <w:rsid w:val="42875997"/>
    <w:rsid w:val="432522B0"/>
    <w:rsid w:val="438931CC"/>
    <w:rsid w:val="44124677"/>
    <w:rsid w:val="46233ED5"/>
    <w:rsid w:val="46E522D4"/>
    <w:rsid w:val="46FD1627"/>
    <w:rsid w:val="47AA03F6"/>
    <w:rsid w:val="4A9532A7"/>
    <w:rsid w:val="4CC67F1C"/>
    <w:rsid w:val="4D943CD4"/>
    <w:rsid w:val="4DCE527F"/>
    <w:rsid w:val="4E5A5688"/>
    <w:rsid w:val="4F587A3C"/>
    <w:rsid w:val="4FB60719"/>
    <w:rsid w:val="4FD858A9"/>
    <w:rsid w:val="51A16539"/>
    <w:rsid w:val="56A67DFF"/>
    <w:rsid w:val="587421B6"/>
    <w:rsid w:val="58DD7B67"/>
    <w:rsid w:val="59BF3D83"/>
    <w:rsid w:val="5BE10001"/>
    <w:rsid w:val="5BE56AFB"/>
    <w:rsid w:val="624520A2"/>
    <w:rsid w:val="642A1A86"/>
    <w:rsid w:val="645962D8"/>
    <w:rsid w:val="66386266"/>
    <w:rsid w:val="6724426A"/>
    <w:rsid w:val="67EB2E01"/>
    <w:rsid w:val="68804CC4"/>
    <w:rsid w:val="6BD95533"/>
    <w:rsid w:val="6C331E73"/>
    <w:rsid w:val="6CC94CD8"/>
    <w:rsid w:val="6CE1187F"/>
    <w:rsid w:val="71222AE3"/>
    <w:rsid w:val="71874725"/>
    <w:rsid w:val="725D4060"/>
    <w:rsid w:val="73F97FBA"/>
    <w:rsid w:val="798F51BB"/>
    <w:rsid w:val="7A48544D"/>
    <w:rsid w:val="7AD974EC"/>
    <w:rsid w:val="7B1D0887"/>
    <w:rsid w:val="7BF00D74"/>
    <w:rsid w:val="7D864E17"/>
    <w:rsid w:val="7F0E4E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pPr>
      <w:autoSpaceDE w:val="0"/>
      <w:autoSpaceDN w:val="0"/>
      <w:adjustRightInd w:val="0"/>
      <w:jc w:val="left"/>
    </w:pPr>
    <w:rPr>
      <w:rFonts w:ascii="Arial Unicode MS" w:hAnsi="Times New Roman" w:eastAsia="Arial Unicode MS"/>
      <w:kern w:val="0"/>
      <w:sz w:val="32"/>
      <w:szCs w:val="32"/>
    </w:rPr>
  </w:style>
  <w:style w:type="paragraph" w:styleId="3">
    <w:name w:val="footer"/>
    <w:basedOn w:val="1"/>
    <w:link w:val="12"/>
    <w:autoRedefine/>
    <w:qFormat/>
    <w:uiPriority w:val="0"/>
    <w:pPr>
      <w:tabs>
        <w:tab w:val="center" w:pos="4153"/>
        <w:tab w:val="right" w:pos="8306"/>
      </w:tabs>
      <w:snapToGrid w:val="0"/>
      <w:jc w:val="left"/>
    </w:pPr>
    <w:rPr>
      <w:sz w:val="18"/>
      <w:szCs w:val="18"/>
    </w:rPr>
  </w:style>
  <w:style w:type="paragraph" w:styleId="4">
    <w:name w:val="header"/>
    <w:basedOn w:val="1"/>
    <w:link w:val="11"/>
    <w:autoRedefine/>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autoRedefine/>
    <w:unhideWhenUsed/>
    <w:qFormat/>
    <w:uiPriority w:val="99"/>
    <w:rPr>
      <w:color w:val="954F72"/>
      <w:u w:val="single"/>
    </w:rPr>
  </w:style>
  <w:style w:type="character" w:styleId="9">
    <w:name w:val="Hyperlink"/>
    <w:basedOn w:val="7"/>
    <w:autoRedefine/>
    <w:unhideWhenUsed/>
    <w:qFormat/>
    <w:uiPriority w:val="99"/>
    <w:rPr>
      <w:color w:val="0563C1"/>
      <w:u w:val="single"/>
    </w:rPr>
  </w:style>
  <w:style w:type="character" w:customStyle="1" w:styleId="10">
    <w:name w:val="font01"/>
    <w:basedOn w:val="7"/>
    <w:autoRedefine/>
    <w:qFormat/>
    <w:uiPriority w:val="0"/>
    <w:rPr>
      <w:rFonts w:hint="eastAsia" w:ascii="宋体" w:hAnsi="宋体" w:eastAsia="宋体" w:cs="宋体"/>
      <w:color w:val="000000"/>
      <w:sz w:val="22"/>
      <w:szCs w:val="22"/>
      <w:u w:val="none"/>
    </w:rPr>
  </w:style>
  <w:style w:type="character" w:customStyle="1" w:styleId="11">
    <w:name w:val="页眉 字符"/>
    <w:basedOn w:val="7"/>
    <w:link w:val="4"/>
    <w:autoRedefine/>
    <w:qFormat/>
    <w:uiPriority w:val="0"/>
    <w:rPr>
      <w:rFonts w:asciiTheme="minorHAnsi" w:hAnsiTheme="minorHAnsi" w:eastAsiaTheme="minorEastAsia" w:cstheme="minorBidi"/>
      <w:kern w:val="2"/>
      <w:sz w:val="18"/>
      <w:szCs w:val="18"/>
    </w:rPr>
  </w:style>
  <w:style w:type="character" w:customStyle="1" w:styleId="12">
    <w:name w:val="页脚 字符"/>
    <w:basedOn w:val="7"/>
    <w:link w:val="3"/>
    <w:autoRedefine/>
    <w:qFormat/>
    <w:uiPriority w:val="0"/>
    <w:rPr>
      <w:rFonts w:asciiTheme="minorHAnsi" w:hAnsiTheme="minorHAnsi" w:eastAsiaTheme="minorEastAsia" w:cstheme="minorBidi"/>
      <w:kern w:val="2"/>
      <w:sz w:val="18"/>
      <w:szCs w:val="18"/>
    </w:rPr>
  </w:style>
  <w:style w:type="paragraph" w:customStyle="1" w:styleId="13">
    <w:name w:val="msonormal"/>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14">
    <w:name w:val="font5"/>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5">
    <w:name w:val="xl65"/>
    <w:basedOn w:val="1"/>
    <w:autoRedefine/>
    <w:qFormat/>
    <w:uiPriority w:val="0"/>
    <w:pPr>
      <w:widowControl/>
      <w:spacing w:before="100" w:beforeAutospacing="1" w:after="100" w:afterAutospacing="1"/>
      <w:jc w:val="center"/>
    </w:pPr>
    <w:rPr>
      <w:rFonts w:ascii="宋体" w:hAnsi="宋体" w:eastAsia="宋体" w:cs="宋体"/>
      <w:kern w:val="0"/>
      <w:sz w:val="24"/>
    </w:rPr>
  </w:style>
  <w:style w:type="paragraph" w:customStyle="1" w:styleId="16">
    <w:name w:val="xl66"/>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17">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宋体"/>
      <w:b/>
      <w:bCs/>
      <w:kern w:val="0"/>
      <w:sz w:val="24"/>
    </w:rPr>
  </w:style>
  <w:style w:type="paragraph" w:customStyle="1" w:styleId="18">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宋体"/>
      <w:kern w:val="0"/>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277</Words>
  <Characters>1585</Characters>
  <Lines>13</Lines>
  <Paragraphs>3</Paragraphs>
  <TotalTime>3</TotalTime>
  <ScaleCrop>false</ScaleCrop>
  <LinksUpToDate>false</LinksUpToDate>
  <CharactersWithSpaces>1859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2022-06-30T07:06:00Z</dcterms:created>
  <dc:creator>Administrator</dc:creator>
  <cp:lastModifiedBy>z我的唯一z</cp:lastModifiedBy>
  <cp:lastPrinted>2023-12-26T02:45:06Z</cp:lastPrinted>
  <dcterms:modified xsi:type="dcterms:W3CDTF">2023-12-26T02:45:45Z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53C97A1265A44DC3BDB98E570E5674FA</vt:lpwstr>
  </property>
</Properties>
</file>