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关于公布</w:t>
      </w:r>
      <w:r>
        <w:rPr>
          <w:rFonts w:hint="eastAsia" w:ascii="方正小标宋_GBK" w:hAnsi="方正小标宋_GBK" w:eastAsia="方正小标宋_GBK" w:cs="方正小标宋_GBK"/>
          <w:sz w:val="44"/>
          <w:szCs w:val="44"/>
          <w:lang w:val="en-US" w:eastAsia="zh-CN"/>
        </w:rPr>
        <w:t>泽普县</w:t>
      </w:r>
      <w:r>
        <w:rPr>
          <w:rFonts w:hint="eastAsia" w:ascii="方正小标宋_GBK" w:hAnsi="方正小标宋_GBK" w:eastAsia="方正小标宋_GBK" w:cs="方正小标宋_GBK"/>
          <w:sz w:val="44"/>
          <w:szCs w:val="44"/>
        </w:rPr>
        <w:t>市场监督管理局行政处罚决定书</w:t>
      </w:r>
      <w:r>
        <w:rPr>
          <w:rFonts w:hint="eastAsia" w:ascii="方正小标宋_GBK" w:hAnsi="方正小标宋_GBK" w:eastAsia="方正小标宋_GBK" w:cs="方正小标宋_GBK"/>
          <w:sz w:val="44"/>
          <w:szCs w:val="44"/>
          <w:lang w:val="en-US" w:eastAsia="zh-CN"/>
        </w:rPr>
        <w:t>泽</w:t>
      </w:r>
      <w:r>
        <w:rPr>
          <w:rFonts w:hint="eastAsia" w:ascii="方正小标宋_GBK" w:hAnsi="方正小标宋_GBK" w:eastAsia="方正小标宋_GBK" w:cs="方正小标宋_GBK"/>
          <w:sz w:val="44"/>
          <w:szCs w:val="44"/>
        </w:rPr>
        <w:t>市监处罚〔</w:t>
      </w:r>
      <w:r>
        <w:rPr>
          <w:rFonts w:hint="eastAsia" w:ascii="方正小标宋_GBK" w:hAnsi="方正小标宋_GBK" w:eastAsia="方正小标宋_GBK" w:cs="方正小标宋_GBK"/>
          <w:sz w:val="44"/>
          <w:szCs w:val="44"/>
          <w:lang w:val="en-US" w:eastAsia="zh-CN"/>
        </w:rPr>
        <w:t>2023</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34</w:t>
      </w:r>
      <w:r>
        <w:rPr>
          <w:rFonts w:hint="eastAsia" w:ascii="方正小标宋_GBK" w:hAnsi="方正小标宋_GBK" w:eastAsia="方正小标宋_GBK" w:cs="方正小标宋_GBK"/>
          <w:sz w:val="44"/>
          <w:szCs w:val="44"/>
        </w:rPr>
        <w:t>号的公告</w:t>
      </w:r>
    </w:p>
    <w:p>
      <w:pPr>
        <w:jc w:val="center"/>
        <w:rPr>
          <w:rFonts w:ascii="方正仿宋_GBK" w:hAnsi="方正仿宋_GBK" w:eastAsia="方正仿宋_GBK" w:cs="方正仿宋_GBK"/>
          <w:sz w:val="32"/>
          <w:szCs w:val="32"/>
        </w:rPr>
      </w:pPr>
    </w:p>
    <w:p>
      <w:pPr>
        <w:keepNext w:val="0"/>
        <w:keepLines w:val="0"/>
        <w:pageBreakBefore w:val="0"/>
        <w:tabs>
          <w:tab w:val="left" w:pos="3518"/>
        </w:tabs>
        <w:overflowPunct/>
        <w:topLinePunct w:val="0"/>
        <w:bidi w:val="0"/>
        <w:spacing w:line="168" w:lineRule="auto"/>
        <w:ind w:firstLine="1746"/>
        <w:rPr>
          <w:rFonts w:ascii="Microsoft JhengHei" w:hAnsi="Microsoft JhengHei" w:eastAsia="Microsoft JhengHei" w:cs="Microsoft JhengHei"/>
          <w:sz w:val="44"/>
          <w:szCs w:val="44"/>
        </w:rPr>
      </w:pPr>
      <w:r>
        <w:rPr>
          <w:rFonts w:hint="eastAsia" w:ascii="Microsoft JhengHei" w:hAnsi="Microsoft JhengHei" w:eastAsia="Microsoft JhengHei" w:cs="Microsoft JhengHei"/>
          <w:spacing w:val="-2"/>
          <w:sz w:val="44"/>
          <w:szCs w:val="44"/>
          <w:u w:val="single"/>
          <w:lang w:val="en-US" w:eastAsia="zh-CN"/>
        </w:rPr>
        <w:t>泽普县</w:t>
      </w:r>
      <w:r>
        <w:rPr>
          <w:rFonts w:ascii="Microsoft JhengHei" w:hAnsi="Microsoft JhengHei" w:eastAsia="Microsoft JhengHei" w:cs="Microsoft JhengHei"/>
          <w:spacing w:val="-2"/>
          <w:sz w:val="44"/>
          <w:szCs w:val="44"/>
        </w:rPr>
        <w:t>市场监督管理局</w:t>
      </w:r>
    </w:p>
    <w:p>
      <w:pPr>
        <w:keepNext w:val="0"/>
        <w:keepLines w:val="0"/>
        <w:pageBreakBefore w:val="0"/>
        <w:overflowPunct/>
        <w:topLinePunct w:val="0"/>
        <w:bidi w:val="0"/>
        <w:spacing w:line="204" w:lineRule="auto"/>
        <w:ind w:firstLine="2637"/>
        <w:rPr>
          <w:rFonts w:hint="eastAsia" w:ascii="黑体" w:hAnsi="黑体" w:eastAsia="黑体" w:cs="黑体"/>
          <w:sz w:val="44"/>
          <w:szCs w:val="44"/>
        </w:rPr>
      </w:pPr>
      <w:r>
        <w:rPr>
          <w:rFonts w:hint="eastAsia" w:ascii="黑体" w:hAnsi="黑体" w:eastAsia="黑体" w:cs="黑体"/>
          <w:spacing w:val="-2"/>
          <w:sz w:val="44"/>
          <w:szCs w:val="44"/>
        </w:rPr>
        <w:t>行政处罚决定书</w:t>
      </w:r>
    </w:p>
    <w:p>
      <w:pPr>
        <w:keepNext w:val="0"/>
        <w:keepLines w:val="0"/>
        <w:pageBreakBefore w:val="0"/>
        <w:tabs>
          <w:tab w:val="left" w:pos="2725"/>
        </w:tabs>
        <w:overflowPunct/>
        <w:topLinePunct w:val="0"/>
        <w:bidi w:val="0"/>
        <w:spacing w:line="183" w:lineRule="auto"/>
        <w:ind w:firstLine="2219"/>
        <w:rPr>
          <w:rFonts w:ascii="仿宋" w:hAnsi="仿宋" w:eastAsia="仿宋" w:cs="仿宋"/>
          <w:sz w:val="32"/>
          <w:szCs w:val="32"/>
        </w:rPr>
      </w:pPr>
      <w:r>
        <w:rPr>
          <w:rFonts w:hint="eastAsia" w:ascii="仿宋" w:hAnsi="仿宋" w:eastAsia="仿宋" w:cs="仿宋"/>
          <w:spacing w:val="-7"/>
          <w:sz w:val="32"/>
          <w:szCs w:val="32"/>
          <w:u w:val="single"/>
          <w:lang w:val="en-US" w:eastAsia="zh-CN"/>
        </w:rPr>
        <w:t>泽</w:t>
      </w:r>
      <w:r>
        <w:rPr>
          <w:rFonts w:ascii="仿宋" w:hAnsi="仿宋" w:eastAsia="仿宋" w:cs="仿宋"/>
          <w:spacing w:val="-7"/>
          <w:sz w:val="32"/>
          <w:szCs w:val="32"/>
        </w:rPr>
        <w:t>市监处罚〔</w:t>
      </w:r>
      <w:r>
        <w:rPr>
          <w:rFonts w:hint="eastAsia" w:ascii="仿宋" w:hAnsi="仿宋" w:eastAsia="仿宋" w:cs="仿宋"/>
          <w:spacing w:val="18"/>
          <w:sz w:val="32"/>
          <w:szCs w:val="32"/>
          <w:u w:val="single" w:color="auto"/>
          <w:lang w:val="en-US" w:eastAsia="zh-CN"/>
        </w:rPr>
        <w:t>2023</w:t>
      </w:r>
      <w:r>
        <w:rPr>
          <w:rFonts w:ascii="仿宋" w:hAnsi="仿宋" w:eastAsia="仿宋" w:cs="仿宋"/>
          <w:spacing w:val="-7"/>
          <w:sz w:val="32"/>
          <w:szCs w:val="32"/>
        </w:rPr>
        <w:t>〕</w:t>
      </w:r>
      <w:r>
        <w:rPr>
          <w:rFonts w:hint="eastAsia" w:ascii="仿宋" w:hAnsi="仿宋" w:eastAsia="仿宋" w:cs="仿宋"/>
          <w:color w:val="auto"/>
          <w:spacing w:val="68"/>
          <w:sz w:val="32"/>
          <w:szCs w:val="32"/>
          <w:u w:val="single" w:color="auto"/>
          <w:lang w:val="en-US" w:eastAsia="zh-CN"/>
        </w:rPr>
        <w:t>34</w:t>
      </w:r>
      <w:r>
        <w:rPr>
          <w:rFonts w:ascii="仿宋" w:hAnsi="仿宋" w:eastAsia="仿宋" w:cs="仿宋"/>
          <w:spacing w:val="-7"/>
          <w:sz w:val="32"/>
          <w:szCs w:val="32"/>
        </w:rPr>
        <w:t>号</w:t>
      </w:r>
    </w:p>
    <w:p>
      <w:pPr>
        <w:keepNext w:val="0"/>
        <w:keepLines w:val="0"/>
        <w:pageBreakBefore w:val="0"/>
        <w:overflowPunct/>
        <w:topLinePunct w:val="0"/>
        <w:bidi w:val="0"/>
        <w:spacing w:line="414" w:lineRule="auto"/>
        <w:rPr>
          <w:rFonts w:ascii="Microsoft JhengHei"/>
          <w:sz w:val="21"/>
          <w:u w:val="single"/>
        </w:rPr>
      </w:pPr>
    </w:p>
    <w:p>
      <w:pPr>
        <w:keepNext w:val="0"/>
        <w:keepLines w:val="0"/>
        <w:pageBreakBefore w:val="0"/>
        <w:overflowPunct/>
        <w:topLinePunct w:val="0"/>
        <w:bidi w:val="0"/>
        <w:spacing w:line="500" w:lineRule="exact"/>
        <w:ind w:left="35" w:right="16" w:firstLine="33"/>
        <w:rPr>
          <w:rFonts w:ascii="仿宋" w:hAnsi="仿宋" w:eastAsia="仿宋" w:cs="仿宋"/>
          <w:spacing w:val="21"/>
          <w:sz w:val="32"/>
          <w:szCs w:val="32"/>
        </w:rPr>
      </w:pPr>
      <w:r>
        <w:rPr>
          <w:rFonts w:hint="eastAsia" w:ascii="仿宋" w:hAnsi="仿宋" w:eastAsia="仿宋" w:cs="仿宋"/>
          <w:spacing w:val="-28"/>
          <w:sz w:val="32"/>
          <w:szCs w:val="32"/>
          <w:lang w:eastAsia="zh-CN"/>
        </w:rPr>
        <w:t>当事人</w:t>
      </w:r>
      <w:r>
        <w:rPr>
          <w:rFonts w:ascii="仿宋" w:hAnsi="仿宋" w:eastAsia="仿宋" w:cs="仿宋"/>
          <w:spacing w:val="-28"/>
          <w:w w:val="89"/>
          <w:sz w:val="32"/>
          <w:szCs w:val="32"/>
        </w:rPr>
        <w:t>：</w:t>
      </w:r>
      <w:r>
        <w:rPr>
          <w:rFonts w:ascii="仿宋" w:hAnsi="仿宋" w:eastAsia="仿宋" w:cs="仿宋"/>
          <w:sz w:val="32"/>
          <w:szCs w:val="32"/>
          <w:u w:val="single" w:color="auto"/>
        </w:rPr>
        <w:t xml:space="preserve">  </w:t>
      </w:r>
      <w:r>
        <w:rPr>
          <w:rFonts w:hint="eastAsia" w:ascii="仿宋" w:hAnsi="仿宋" w:eastAsia="仿宋" w:cs="仿宋"/>
          <w:spacing w:val="1"/>
          <w:sz w:val="32"/>
          <w:szCs w:val="32"/>
          <w:u w:val="single"/>
        </w:rPr>
        <w:t>泽普县鲜丽综合商店</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z w:val="32"/>
          <w:szCs w:val="32"/>
          <w:u w:val="single" w:color="auto"/>
        </w:rPr>
        <w:t xml:space="preserve">                                          </w:t>
      </w:r>
      <w:r>
        <w:rPr>
          <w:rFonts w:ascii="仿宋" w:hAnsi="仿宋" w:eastAsia="仿宋" w:cs="仿宋"/>
          <w:spacing w:val="22"/>
          <w:sz w:val="32"/>
          <w:szCs w:val="32"/>
        </w:rPr>
        <w:t xml:space="preserve"> </w:t>
      </w:r>
      <w:r>
        <w:rPr>
          <w:rFonts w:ascii="仿宋" w:hAnsi="仿宋" w:eastAsia="仿宋" w:cs="仿宋"/>
          <w:spacing w:val="-28"/>
          <w:sz w:val="32"/>
          <w:szCs w:val="32"/>
        </w:rPr>
        <w:t>主体资格证照名称：</w:t>
      </w:r>
      <w:r>
        <w:rPr>
          <w:rFonts w:ascii="仿宋" w:hAnsi="仿宋" w:eastAsia="仿宋" w:cs="仿宋"/>
          <w:spacing w:val="1"/>
          <w:sz w:val="32"/>
          <w:szCs w:val="32"/>
          <w:u w:val="single" w:color="auto"/>
        </w:rPr>
        <w:t xml:space="preserve"> </w:t>
      </w:r>
      <w:r>
        <w:rPr>
          <w:rFonts w:hint="eastAsia" w:ascii="仿宋" w:hAnsi="仿宋" w:eastAsia="仿宋" w:cs="仿宋"/>
          <w:spacing w:val="1"/>
          <w:sz w:val="32"/>
          <w:szCs w:val="32"/>
          <w:u w:val="single" w:color="auto"/>
          <w:lang w:val="en-US" w:eastAsia="zh-CN"/>
        </w:rPr>
        <w:t>营业执照</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28"/>
          <w:sz w:val="32"/>
          <w:szCs w:val="32"/>
        </w:rPr>
        <w:t>统一社会信用代码：</w:t>
      </w:r>
      <w:r>
        <w:rPr>
          <w:rFonts w:ascii="仿宋" w:hAnsi="仿宋" w:eastAsia="仿宋" w:cs="仿宋"/>
          <w:spacing w:val="1"/>
          <w:sz w:val="32"/>
          <w:szCs w:val="32"/>
          <w:u w:val="single" w:color="auto"/>
        </w:rPr>
        <w:t xml:space="preserve"> </w:t>
      </w:r>
      <w:r>
        <w:rPr>
          <w:rFonts w:hint="eastAsia" w:ascii="仿宋" w:hAnsi="仿宋" w:eastAsia="仿宋" w:cs="仿宋"/>
          <w:color w:val="000000"/>
          <w:spacing w:val="3"/>
          <w:sz w:val="32"/>
          <w:szCs w:val="32"/>
          <w:highlight w:val="none"/>
          <w:u w:val="single" w:color="auto"/>
          <w:lang w:val="en-US" w:eastAsia="zh-CN"/>
        </w:rPr>
        <w:t>92653124MA78XY1D26</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4"/>
          <w:sz w:val="32"/>
          <w:szCs w:val="32"/>
        </w:rPr>
        <w:t>住所</w:t>
      </w:r>
      <w:r>
        <w:rPr>
          <w:rFonts w:ascii="仿宋" w:hAnsi="仿宋" w:eastAsia="仿宋" w:cs="仿宋"/>
          <w:spacing w:val="4"/>
          <w:sz w:val="32"/>
          <w:szCs w:val="32"/>
          <w:u w:val="none" w:color="auto"/>
        </w:rPr>
        <w:t>（</w:t>
      </w:r>
      <w:r>
        <w:rPr>
          <w:rFonts w:hint="eastAsia" w:ascii="仿宋" w:hAnsi="仿宋" w:eastAsia="仿宋" w:cs="仿宋"/>
          <w:spacing w:val="1"/>
          <w:sz w:val="32"/>
          <w:szCs w:val="32"/>
          <w:u w:val="none" w:color="auto"/>
          <w:lang w:val="en-US" w:eastAsia="zh-CN"/>
        </w:rPr>
        <w:t>住址）：</w:t>
      </w:r>
      <w:r>
        <w:rPr>
          <w:rFonts w:hint="eastAsia" w:ascii="仿宋" w:hAnsi="仿宋" w:eastAsia="仿宋" w:cs="仿宋"/>
          <w:spacing w:val="1"/>
          <w:sz w:val="32"/>
          <w:szCs w:val="32"/>
          <w:u w:val="single" w:color="auto"/>
          <w:lang w:val="en-US" w:eastAsia="zh-CN"/>
        </w:rPr>
        <w:t xml:space="preserve"> 新疆喀什地区泽普县赛力乡大十字住宅楼临街面一层08号商铺</w:t>
      </w:r>
      <w:r>
        <w:rPr>
          <w:rFonts w:hint="eastAsia" w:ascii="仿宋" w:hAnsi="仿宋" w:eastAsia="仿宋" w:cs="仿宋"/>
          <w:color w:val="000000"/>
          <w:sz w:val="32"/>
          <w:szCs w:val="32"/>
          <w:highlight w:val="none"/>
          <w:u w:val="single"/>
          <w:lang w:val="en-US" w:eastAsia="zh-CN"/>
        </w:rPr>
        <w:t xml:space="preserve">   </w:t>
      </w:r>
      <w:r>
        <w:rPr>
          <w:rFonts w:ascii="仿宋" w:hAnsi="仿宋" w:eastAsia="仿宋" w:cs="仿宋"/>
          <w:spacing w:val="1"/>
          <w:sz w:val="32"/>
          <w:szCs w:val="32"/>
          <w:u w:val="single" w:color="auto"/>
        </w:rPr>
        <w:t xml:space="preserve">                                </w:t>
      </w:r>
      <w:r>
        <w:rPr>
          <w:rFonts w:ascii="仿宋" w:hAnsi="仿宋" w:eastAsia="仿宋" w:cs="仿宋"/>
          <w:spacing w:val="5"/>
          <w:sz w:val="32"/>
          <w:szCs w:val="32"/>
        </w:rPr>
        <w:t xml:space="preserve"> </w:t>
      </w:r>
      <w:r>
        <w:rPr>
          <w:rFonts w:ascii="仿宋" w:hAnsi="仿宋" w:eastAsia="仿宋" w:cs="仿宋"/>
          <w:sz w:val="32"/>
          <w:szCs w:val="32"/>
        </w:rPr>
        <w:t>法定代表人（负责人、</w:t>
      </w:r>
      <w:r>
        <w:rPr>
          <w:rFonts w:ascii="仿宋" w:hAnsi="仿宋" w:eastAsia="仿宋" w:cs="仿宋"/>
          <w:sz w:val="32"/>
          <w:szCs w:val="32"/>
          <w:u w:val="none" w:color="auto"/>
        </w:rPr>
        <w:t>经</w:t>
      </w:r>
      <w:r>
        <w:rPr>
          <w:rFonts w:hint="eastAsia" w:ascii="仿宋" w:hAnsi="仿宋" w:eastAsia="仿宋" w:cs="仿宋"/>
          <w:spacing w:val="1"/>
          <w:sz w:val="32"/>
          <w:szCs w:val="32"/>
          <w:u w:val="none" w:color="auto"/>
          <w:lang w:val="en-US" w:eastAsia="zh-CN"/>
        </w:rPr>
        <w:t>营者）：</w:t>
      </w:r>
      <w:r>
        <w:rPr>
          <w:rFonts w:hint="eastAsia" w:ascii="仿宋" w:hAnsi="仿宋" w:eastAsia="仿宋" w:cs="仿宋"/>
          <w:color w:val="000000"/>
          <w:spacing w:val="3"/>
          <w:sz w:val="32"/>
          <w:szCs w:val="32"/>
          <w:highlight w:val="none"/>
          <w:u w:val="single" w:color="auto"/>
          <w:lang w:val="en-US" w:eastAsia="zh-CN"/>
        </w:rPr>
        <w:t>热米图拉·扎依提</w:t>
      </w:r>
      <w:r>
        <w:rPr>
          <w:rFonts w:ascii="仿宋" w:hAnsi="仿宋" w:eastAsia="仿宋" w:cs="仿宋"/>
          <w:spacing w:val="1"/>
          <w:sz w:val="32"/>
          <w:szCs w:val="32"/>
          <w:u w:val="single" w:color="auto"/>
        </w:rPr>
        <w:t xml:space="preserve">               </w:t>
      </w:r>
      <w:r>
        <w:rPr>
          <w:rFonts w:ascii="仿宋" w:hAnsi="仿宋" w:eastAsia="仿宋" w:cs="仿宋"/>
          <w:spacing w:val="21"/>
          <w:sz w:val="32"/>
          <w:szCs w:val="32"/>
        </w:rPr>
        <w:t xml:space="preserve"> </w:t>
      </w:r>
    </w:p>
    <w:p>
      <w:pPr>
        <w:keepNext w:val="0"/>
        <w:keepLines w:val="0"/>
        <w:pageBreakBefore w:val="0"/>
        <w:overflowPunct/>
        <w:topLinePunct w:val="0"/>
        <w:bidi w:val="0"/>
        <w:spacing w:line="500" w:lineRule="exact"/>
        <w:ind w:left="35" w:right="16" w:firstLine="33"/>
        <w:rPr>
          <w:rFonts w:ascii="Microsoft JhengHei"/>
          <w:sz w:val="32"/>
          <w:szCs w:val="32"/>
        </w:rPr>
      </w:pPr>
      <w:r>
        <w:rPr>
          <w:rFonts w:ascii="仿宋" w:hAnsi="仿宋" w:eastAsia="仿宋" w:cs="仿宋"/>
          <w:spacing w:val="-31"/>
          <w:w w:val="98"/>
          <w:sz w:val="32"/>
          <w:szCs w:val="32"/>
        </w:rPr>
        <w:t>身份</w:t>
      </w:r>
      <w:r>
        <w:rPr>
          <w:rFonts w:ascii="仿宋" w:hAnsi="仿宋" w:eastAsia="仿宋" w:cs="仿宋"/>
          <w:spacing w:val="-31"/>
          <w:w w:val="98"/>
          <w:sz w:val="32"/>
          <w:szCs w:val="32"/>
          <w:u w:val="none" w:color="auto"/>
        </w:rPr>
        <w:t>证</w:t>
      </w:r>
      <w:r>
        <w:rPr>
          <w:rFonts w:hint="eastAsia" w:ascii="仿宋" w:hAnsi="仿宋" w:eastAsia="仿宋" w:cs="仿宋"/>
          <w:spacing w:val="1"/>
          <w:sz w:val="32"/>
          <w:szCs w:val="32"/>
          <w:u w:val="none" w:color="auto"/>
          <w:lang w:val="en-US" w:eastAsia="zh-CN"/>
        </w:rPr>
        <w:t>件号码：</w:t>
      </w:r>
      <w:r>
        <w:rPr>
          <w:rFonts w:hint="eastAsia" w:ascii="仿宋" w:hAnsi="仿宋" w:eastAsia="仿宋" w:cs="仿宋"/>
          <w:spacing w:val="1"/>
          <w:sz w:val="32"/>
          <w:szCs w:val="32"/>
          <w:u w:val="single" w:color="auto"/>
          <w:lang w:val="en-US" w:eastAsia="zh-CN"/>
        </w:rPr>
        <w:t>653124199012011235</w:t>
      </w:r>
      <w:r>
        <w:rPr>
          <w:rFonts w:ascii="仿宋" w:hAnsi="仿宋" w:eastAsia="仿宋" w:cs="仿宋"/>
          <w:sz w:val="32"/>
          <w:szCs w:val="32"/>
          <w:u w:val="single" w:color="auto"/>
        </w:rPr>
        <w:t xml:space="preserve">                                     </w:t>
      </w:r>
    </w:p>
    <w:p>
      <w:pPr>
        <w:keepNext w:val="0"/>
        <w:keepLines w:val="0"/>
        <w:pageBreakBefore w:val="0"/>
        <w:widowControl w:val="0"/>
        <w:kinsoku/>
        <w:wordWrap w:val="0"/>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u w:val="single"/>
          <w:lang w:val="en-US" w:eastAsia="zh-CN"/>
        </w:rPr>
        <w:t>1.2023年7月27日，喀什地区泽普县市场监督管理局委托华测检测认证集团北京有限公司对泽普县鲜丽综合商店销售的韭菜进行抽样检测。2023年8月15日我局收到华测检测认证集团北京有限公司出具的编号为：NO：A2230255219601002C的检验报告，检验结果显示毒死蜱项目不符合GB2763-2021《食品安全国家标准、食品中农药最大残留限量》要求，检验结论为不合格。经向当事人送达食品安全抽样检验结果通知书和华测检测认证集团北京有限公司出具的食品安全监督抽检检验报告（编号为：NO：A2230255219601002C，同时一并告知了当事人享有的权利及复检的时限，当事人热米图拉·扎依提签收了检验报告书及通知书，在七个工作日后未提出复检申请，对抽检结果无异议。</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highlight w:val="none"/>
          <w:u w:val="single"/>
          <w:lang w:val="en-US" w:eastAsia="zh-CN"/>
        </w:rPr>
        <w:t>2.2023年8月15日执法人员现场检查发现，涉案韭菜已销售完毕，经询问，当事人承认涉案韭菜是2023年7月27日从泽普县从固定的供货商购进的，购进数量为：5kg，进货价每公斤3元，零售价是每公斤5.0元，涉案韭菜购进总金额：15元。未发现涉案韭菜的售价标签、销售记录，涉案韭菜在采购时的检验合格的证明材料入库台帐等材料。</w:t>
      </w:r>
    </w:p>
    <w:p>
      <w:pPr>
        <w:keepNext w:val="0"/>
        <w:keepLines w:val="0"/>
        <w:pageBreakBefore w:val="0"/>
        <w:widowControl w:val="0"/>
        <w:kinsoku/>
        <w:wordWrap w:val="0"/>
        <w:overflowPunct/>
        <w:topLinePunct/>
        <w:autoSpaceDE/>
        <w:autoSpaceDN/>
        <w:bidi w:val="0"/>
        <w:adjustRightInd/>
        <w:snapToGrid/>
        <w:spacing w:line="500" w:lineRule="exact"/>
        <w:ind w:firstLine="640" w:firstLineChars="200"/>
        <w:textAlignment w:val="auto"/>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highlight w:val="none"/>
          <w:u w:val="single"/>
          <w:lang w:val="en-US" w:eastAsia="zh-CN"/>
        </w:rPr>
        <w:t>执法人员于2023年</w:t>
      </w:r>
      <w:r>
        <w:rPr>
          <w:rFonts w:hint="eastAsia" w:ascii="仿宋" w:hAnsi="仿宋" w:eastAsia="仿宋" w:cs="仿宋"/>
          <w:color w:val="auto"/>
          <w:sz w:val="32"/>
          <w:szCs w:val="32"/>
          <w:highlight w:val="none"/>
          <w:u w:val="single"/>
          <w:lang w:val="en-US" w:eastAsia="zh-CN"/>
        </w:rPr>
        <w:t>8月15日进行了案源登记，2023年8月27日经局领导批准开展</w:t>
      </w:r>
      <w:r>
        <w:rPr>
          <w:rFonts w:hint="eastAsia" w:ascii="仿宋" w:hAnsi="仿宋" w:eastAsia="仿宋" w:cs="仿宋"/>
          <w:sz w:val="32"/>
          <w:szCs w:val="32"/>
          <w:highlight w:val="none"/>
          <w:u w:val="single"/>
          <w:lang w:val="en-US" w:eastAsia="zh-CN"/>
        </w:rPr>
        <w:t>立案调查。</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lang w:val="en-US" w:eastAsia="zh-CN"/>
        </w:rPr>
        <w:t xml:space="preserve"> </w:t>
      </w:r>
      <w:r>
        <w:rPr>
          <w:rFonts w:hint="eastAsia" w:ascii="仿宋" w:hAnsi="仿宋" w:eastAsia="仿宋" w:cs="仿宋"/>
          <w:spacing w:val="1"/>
          <w:sz w:val="32"/>
          <w:szCs w:val="32"/>
          <w:u w:val="none"/>
          <w:lang w:val="en-US" w:eastAsia="zh-CN"/>
        </w:rPr>
        <w:t>经查，</w:t>
      </w:r>
      <w:r>
        <w:rPr>
          <w:rFonts w:hint="eastAsia" w:ascii="仿宋" w:hAnsi="仿宋" w:eastAsia="仿宋" w:cs="仿宋"/>
          <w:sz w:val="32"/>
          <w:szCs w:val="32"/>
          <w:u w:val="single"/>
          <w:lang w:val="en-US" w:eastAsia="zh-CN"/>
        </w:rPr>
        <w:t>1.根据华测检测认证集团北京有限公司出具的编号为：NO：A2230255219601002C的检验报告，检验结果显示毒死蜱项目不符合GB2763-2021《食品安全国家标准、食品中农药最大残留限量》要求，检验结论为不合格，办案人员认定当事人的行为涉嫌经营农药残留含量含量超过食品安全标准限量的食品（韭菜）。</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2.因在现场检查时，未发现涉案韭菜的检验合格的证明材料，办案人员认定当事人无充分证据证明其不知道所采购的食品不符合食品安全标准。</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3.当事人于</w:t>
      </w:r>
      <w:r>
        <w:rPr>
          <w:rFonts w:hint="eastAsia" w:ascii="仿宋" w:hAnsi="仿宋" w:eastAsia="仿宋" w:cs="仿宋"/>
          <w:color w:val="auto"/>
          <w:sz w:val="32"/>
          <w:szCs w:val="32"/>
          <w:u w:val="single"/>
          <w:lang w:val="en-US" w:eastAsia="zh-CN"/>
        </w:rPr>
        <w:t>2023年7月27日</w:t>
      </w:r>
      <w:r>
        <w:rPr>
          <w:rFonts w:hint="eastAsia" w:ascii="仿宋" w:hAnsi="仿宋" w:eastAsia="仿宋" w:cs="仿宋"/>
          <w:sz w:val="32"/>
          <w:szCs w:val="32"/>
          <w:u w:val="single"/>
          <w:lang w:val="en-US" w:eastAsia="zh-CN"/>
        </w:rPr>
        <w:t>购进5公斤韭菜，总购进价为15.0元，零售价是每公斤5.0元，现场检查时涉案韭菜已销售完毕，未发现涉案韭菜的售价标签及销售记录，根据《市场监管总局办公厅关于食品安全行政处罚案件货值金额计算的意见》（市监稽发〔2021〕70号）之规定，办案人员认定涉案韭菜货值金额为：5.0元/公斤*5=25.0元。</w:t>
      </w:r>
    </w:p>
    <w:p>
      <w:pPr>
        <w:spacing w:line="520" w:lineRule="exact"/>
        <w:ind w:firstLine="640" w:firstLineChars="200"/>
        <w:rPr>
          <w:rFonts w:hint="eastAsia" w:ascii="仿宋" w:hAnsi="仿宋" w:eastAsia="仿宋" w:cs="仿宋"/>
          <w:sz w:val="32"/>
          <w:szCs w:val="32"/>
          <w:u w:val="single"/>
        </w:rPr>
      </w:pPr>
      <w:r>
        <w:rPr>
          <w:rFonts w:hint="eastAsia" w:ascii="仿宋" w:hAnsi="仿宋" w:eastAsia="仿宋" w:cs="仿宋"/>
          <w:sz w:val="32"/>
          <w:szCs w:val="32"/>
          <w:u w:val="single"/>
          <w:lang w:val="en-US" w:eastAsia="zh-CN"/>
        </w:rPr>
        <w:t>4.根据国家市场监督管理总局执法稽查局于2021年4月29日《关于食品生产行为违法判定问题》留言咨询的回复意见“在处理食品安全违法案件中，一般计算违法所得和货值金额按照‘全部收入说’计算，既不扣除成本。”，办案人员认定当事人销售涉案韭菜的违法所得金额为5.0元/公斤*4=20.0元。</w:t>
      </w:r>
    </w:p>
    <w:p>
      <w:pPr>
        <w:keepNext w:val="0"/>
        <w:keepLines w:val="0"/>
        <w:pageBreakBefore w:val="0"/>
        <w:widowControl/>
        <w:tabs>
          <w:tab w:val="left" w:pos="3730"/>
        </w:tabs>
        <w:kinsoku w:val="0"/>
        <w:wordWrap/>
        <w:overflowPunct/>
        <w:topLinePunct w:val="0"/>
        <w:autoSpaceDE w:val="0"/>
        <w:autoSpaceDN w:val="0"/>
        <w:bidi w:val="0"/>
        <w:adjustRightInd w:val="0"/>
        <w:snapToGrid w:val="0"/>
        <w:spacing w:after="0" w:line="500" w:lineRule="exact"/>
        <w:ind w:left="16" w:right="16" w:firstLine="697"/>
        <w:textAlignment w:val="baseline"/>
        <w:rPr>
          <w:rFonts w:hint="eastAsia" w:ascii="仿宋" w:hAnsi="仿宋" w:eastAsia="仿宋" w:cs="仿宋"/>
          <w:spacing w:val="1"/>
          <w:sz w:val="32"/>
          <w:szCs w:val="32"/>
          <w:u w:val="single"/>
          <w:lang w:val="en-US" w:eastAsia="zh-CN"/>
        </w:rPr>
      </w:pPr>
      <w:r>
        <w:rPr>
          <w:rFonts w:hint="eastAsia" w:ascii="仿宋" w:hAnsi="仿宋" w:eastAsia="仿宋" w:cs="仿宋"/>
          <w:spacing w:val="1"/>
          <w:sz w:val="32"/>
          <w:szCs w:val="32"/>
          <w:u w:val="none"/>
          <w:lang w:val="en-US" w:eastAsia="zh-CN"/>
        </w:rPr>
        <w:t>上述事实，主要有以下证据证明：</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1.《营业执照》复印件1份及经营者吾买尔艾力·买买提艾力《居民身份证》正反面复印件1份。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2.食品安全抽样检验抽样单1份。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3.《泽普县市场监督管理局现场笔录》1份。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4.《国家食品安全的抽样检验不合格结果通知书》1份。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5.《检验报告》（编号为：NO：A2230248744201024C）1份。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6.《泽普县市场监督管理局不合格食品检验报告送达回执》2份。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7.《泽普县市场监督管理局询问笔录》1份。</w:t>
      </w:r>
    </w:p>
    <w:p>
      <w:pPr>
        <w:keepNext w:val="0"/>
        <w:keepLines w:val="0"/>
        <w:pageBreakBefore w:val="0"/>
        <w:overflowPunct/>
        <w:topLinePunct w:val="0"/>
        <w:bidi w:val="0"/>
        <w:spacing w:line="500" w:lineRule="exact"/>
        <w:ind w:firstLine="655"/>
        <w:rPr>
          <w:rFonts w:hint="eastAsia" w:ascii="仿宋" w:hAnsi="仿宋" w:eastAsia="仿宋" w:cs="仿宋"/>
          <w:spacing w:val="0"/>
          <w:kern w:val="0"/>
          <w:sz w:val="32"/>
          <w:szCs w:val="32"/>
          <w:u w:val="single"/>
          <w:lang w:val="en-US" w:eastAsia="zh-CN"/>
        </w:rPr>
      </w:pPr>
      <w:r>
        <w:rPr>
          <w:rFonts w:hint="eastAsia" w:ascii="仿宋" w:hAnsi="仿宋" w:eastAsia="仿宋" w:cs="仿宋"/>
          <w:spacing w:val="0"/>
          <w:kern w:val="0"/>
          <w:sz w:val="32"/>
          <w:szCs w:val="32"/>
          <w:u w:val="single"/>
          <w:lang w:val="en-US" w:eastAsia="zh-CN"/>
        </w:rPr>
        <w:t>8.整改报告1份。</w:t>
      </w:r>
    </w:p>
    <w:p>
      <w:pPr>
        <w:keepNext w:val="0"/>
        <w:keepLines w:val="0"/>
        <w:pageBreakBefore w:val="0"/>
        <w:overflowPunct/>
        <w:topLinePunct w:val="0"/>
        <w:bidi w:val="0"/>
        <w:spacing w:line="500" w:lineRule="exact"/>
        <w:ind w:firstLine="655"/>
        <w:rPr>
          <w:rFonts w:hint="eastAsia" w:ascii="仿宋" w:hAnsi="仿宋" w:eastAsia="仿宋" w:cs="仿宋"/>
          <w:spacing w:val="-3"/>
          <w:sz w:val="32"/>
          <w:szCs w:val="32"/>
          <w:u w:val="single"/>
          <w:lang w:val="en-US" w:eastAsia="zh-CN"/>
        </w:rPr>
      </w:pPr>
      <w:r>
        <w:rPr>
          <w:rFonts w:hint="eastAsia" w:ascii="仿宋" w:hAnsi="仿宋" w:eastAsia="仿宋" w:cs="仿宋"/>
          <w:spacing w:val="-3"/>
          <w:sz w:val="32"/>
          <w:szCs w:val="32"/>
          <w:u w:val="single"/>
          <w:lang w:val="en-US" w:eastAsia="zh-CN"/>
        </w:rPr>
        <w:t>2023年11月2日，本局依法向</w:t>
      </w:r>
      <w:r>
        <w:rPr>
          <w:rFonts w:hint="eastAsia" w:ascii="仿宋" w:hAnsi="仿宋" w:eastAsia="仿宋" w:cs="仿宋"/>
          <w:spacing w:val="-3"/>
          <w:sz w:val="32"/>
          <w:szCs w:val="32"/>
          <w:u w:val="single"/>
          <w:lang w:val="zh-CN" w:eastAsia="zh-CN"/>
        </w:rPr>
        <w:t>当事人</w:t>
      </w:r>
      <w:r>
        <w:rPr>
          <w:rFonts w:hint="eastAsia" w:ascii="仿宋" w:hAnsi="仿宋" w:eastAsia="仿宋" w:cs="仿宋"/>
          <w:spacing w:val="-3"/>
          <w:sz w:val="32"/>
          <w:szCs w:val="32"/>
          <w:u w:val="single"/>
          <w:lang w:val="en-US" w:eastAsia="zh-CN"/>
        </w:rPr>
        <w:t>送达了泽市监罚告〔2023〕37号《泽普县市场监督管理局行政处罚告知书》，</w:t>
      </w:r>
      <w:r>
        <w:rPr>
          <w:rFonts w:hint="eastAsia" w:ascii="仿宋" w:hAnsi="仿宋" w:eastAsia="仿宋" w:cs="仿宋"/>
          <w:spacing w:val="-3"/>
          <w:sz w:val="32"/>
          <w:szCs w:val="32"/>
          <w:u w:val="single"/>
          <w:lang w:val="zh-CN" w:eastAsia="zh-CN"/>
        </w:rPr>
        <w:t>当事人</w:t>
      </w:r>
      <w:r>
        <w:rPr>
          <w:rFonts w:hint="eastAsia" w:ascii="仿宋" w:hAnsi="仿宋" w:eastAsia="仿宋" w:cs="仿宋"/>
          <w:spacing w:val="-3"/>
          <w:sz w:val="32"/>
          <w:szCs w:val="32"/>
          <w:u w:val="single"/>
          <w:lang w:val="en-US" w:eastAsia="zh-CN"/>
        </w:rPr>
        <w:t>在五个工作日内未提出陈述、申辩。</w:t>
      </w:r>
    </w:p>
    <w:p>
      <w:pPr>
        <w:keepNext w:val="0"/>
        <w:keepLines w:val="0"/>
        <w:pageBreakBefore w:val="0"/>
        <w:overflowPunct/>
        <w:topLinePunct w:val="0"/>
        <w:bidi w:val="0"/>
        <w:spacing w:line="500" w:lineRule="exact"/>
        <w:ind w:firstLine="655"/>
        <w:rPr>
          <w:rFonts w:hint="eastAsia" w:ascii="仿宋" w:hAnsi="仿宋" w:eastAsia="仿宋" w:cs="仿宋"/>
          <w:spacing w:val="4"/>
          <w:sz w:val="32"/>
          <w:szCs w:val="32"/>
          <w:u w:val="single" w:color="auto"/>
          <w:lang w:val="en-US" w:eastAsia="zh-CN"/>
        </w:rPr>
      </w:pPr>
      <w:r>
        <w:rPr>
          <w:rFonts w:hint="eastAsia" w:ascii="仿宋" w:hAnsi="仿宋" w:eastAsia="仿宋" w:cs="仿宋"/>
          <w:spacing w:val="-3"/>
          <w:sz w:val="32"/>
          <w:szCs w:val="32"/>
        </w:rPr>
        <w:t>本局认为</w:t>
      </w:r>
      <w:r>
        <w:rPr>
          <w:rFonts w:hint="eastAsia" w:ascii="仿宋" w:hAnsi="仿宋" w:eastAsia="仿宋" w:cs="仿宋"/>
          <w:spacing w:val="-41"/>
          <w:sz w:val="32"/>
          <w:szCs w:val="32"/>
        </w:rPr>
        <w:t>，</w:t>
      </w:r>
      <w:r>
        <w:rPr>
          <w:rFonts w:hint="eastAsia" w:ascii="仿宋" w:hAnsi="仿宋" w:eastAsia="仿宋" w:cs="仿宋"/>
          <w:sz w:val="32"/>
          <w:szCs w:val="32"/>
          <w:u w:val="single"/>
          <w:lang w:val="en-US" w:eastAsia="zh-CN"/>
        </w:rPr>
        <w:t>当事人</w:t>
      </w:r>
      <w:r>
        <w:rPr>
          <w:rFonts w:hint="eastAsia" w:ascii="仿宋" w:hAnsi="仿宋" w:eastAsia="仿宋" w:cs="仿宋"/>
          <w:sz w:val="32"/>
          <w:szCs w:val="32"/>
          <w:u w:val="single"/>
          <w:lang w:eastAsia="zh-CN"/>
        </w:rPr>
        <w:t>违反了</w:t>
      </w:r>
      <w:r>
        <w:rPr>
          <w:rFonts w:hint="eastAsia" w:ascii="仿宋" w:hAnsi="仿宋" w:eastAsia="仿宋" w:cs="仿宋"/>
          <w:sz w:val="32"/>
          <w:szCs w:val="32"/>
          <w:u w:val="single"/>
          <w:lang w:val="en-US" w:eastAsia="zh-CN"/>
        </w:rPr>
        <w:t>《中华人民共和国食品安全法》第三十四条第一款第二项，第五十三条第一项的规定</w:t>
      </w:r>
      <w:r>
        <w:rPr>
          <w:rFonts w:hint="eastAsia" w:ascii="仿宋" w:hAnsi="仿宋" w:eastAsia="仿宋" w:cs="仿宋"/>
          <w:sz w:val="32"/>
          <w:szCs w:val="32"/>
          <w:u w:val="single"/>
          <w:lang w:eastAsia="zh-CN"/>
        </w:rPr>
        <w:t>：“禁止生产经营下列食品、食品添加剂、食品相关产品：……（二）致病性微生物，农药残留、兽药残留、生物毒素、重金属等污染物质以及其他危害人体健康的物质含量超过食品安全标准限量的食品、食品添加剂、食品相关产品；”，涉嫌构成</w:t>
      </w:r>
      <w:r>
        <w:rPr>
          <w:rFonts w:hint="eastAsia" w:ascii="仿宋" w:hAnsi="仿宋" w:eastAsia="仿宋" w:cs="仿宋"/>
          <w:sz w:val="32"/>
          <w:szCs w:val="32"/>
          <w:u w:val="single"/>
          <w:lang w:val="en-US" w:eastAsia="zh-CN"/>
        </w:rPr>
        <w:t>经营农药残留含量含量超过食品安全标准限量的食品（韭菜）</w:t>
      </w:r>
      <w:r>
        <w:rPr>
          <w:rFonts w:hint="eastAsia" w:ascii="仿宋" w:hAnsi="仿宋" w:eastAsia="仿宋" w:cs="仿宋"/>
          <w:sz w:val="32"/>
          <w:szCs w:val="32"/>
          <w:u w:val="single"/>
          <w:lang w:eastAsia="zh-CN"/>
        </w:rPr>
        <w:t>违法行为；</w:t>
      </w:r>
      <w:r>
        <w:rPr>
          <w:rFonts w:hint="eastAsia" w:ascii="仿宋" w:hAnsi="仿宋" w:eastAsia="仿宋" w:cs="仿宋"/>
          <w:sz w:val="32"/>
          <w:szCs w:val="32"/>
          <w:u w:val="single"/>
          <w:lang w:val="en-US" w:eastAsia="zh-CN"/>
        </w:rPr>
        <w:t>第五十三条第一项的规定</w:t>
      </w:r>
      <w:r>
        <w:rPr>
          <w:rFonts w:hint="eastAsia" w:ascii="仿宋" w:hAnsi="仿宋" w:eastAsia="仿宋" w:cs="仿宋"/>
          <w:sz w:val="32"/>
          <w:szCs w:val="32"/>
          <w:u w:val="single"/>
          <w:lang w:eastAsia="zh-CN"/>
        </w:rPr>
        <w:t>：“食品经营者采购食品，应当查验供货者的许可证和食品出厂检验合格证或者其他合格证明（以下称合格证明文件）；”，涉嫌构成</w:t>
      </w:r>
      <w:r>
        <w:rPr>
          <w:rFonts w:hint="eastAsia" w:ascii="仿宋" w:hAnsi="仿宋" w:eastAsia="仿宋" w:cs="仿宋"/>
          <w:sz w:val="32"/>
          <w:szCs w:val="32"/>
          <w:u w:val="single"/>
          <w:lang w:val="en-US" w:eastAsia="zh-CN"/>
        </w:rPr>
        <w:t>未履行进货查验制度的</w:t>
      </w:r>
      <w:r>
        <w:rPr>
          <w:rFonts w:hint="eastAsia" w:ascii="仿宋" w:hAnsi="仿宋" w:eastAsia="仿宋" w:cs="仿宋"/>
          <w:sz w:val="32"/>
          <w:szCs w:val="32"/>
          <w:u w:val="single"/>
          <w:lang w:eastAsia="zh-CN"/>
        </w:rPr>
        <w:t>违法行为。</w:t>
      </w:r>
    </w:p>
    <w:p>
      <w:pPr>
        <w:keepNext w:val="0"/>
        <w:keepLines w:val="0"/>
        <w:pageBreakBefore w:val="0"/>
        <w:overflowPunct/>
        <w:topLinePunct w:val="0"/>
        <w:bidi w:val="0"/>
        <w:spacing w:line="500" w:lineRule="exact"/>
        <w:ind w:firstLine="655"/>
        <w:rPr>
          <w:rFonts w:hint="eastAsia" w:ascii="仿宋" w:hAnsi="仿宋" w:eastAsia="仿宋" w:cs="仿宋"/>
          <w:sz w:val="32"/>
          <w:szCs w:val="32"/>
        </w:rPr>
      </w:pPr>
      <w:r>
        <w:rPr>
          <w:rFonts w:hint="eastAsia" w:ascii="仿宋" w:hAnsi="仿宋" w:eastAsia="仿宋" w:cs="仿宋"/>
          <w:spacing w:val="4"/>
          <w:sz w:val="32"/>
          <w:szCs w:val="32"/>
          <w:u w:val="single" w:color="auto"/>
          <w:lang w:val="en-US" w:eastAsia="zh-CN"/>
        </w:rPr>
        <w:t>处罚依据《中华人民共和国食品安全法》第一百二十四条第一款第一项：“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一）生产经营致病性微生物，农药残留、农药残留、生物毒素、重金属等污染物质以及其他危害人体健康的物质含量超过食品安全标准限量的食品、食品添加剂；”；《中华人民共和国食品安全法》第一百二十六条第一款第三项：“违反本法规定，有下列情形之一的，由县级以上人民政府食品安全监督管理部门责令改正，给予警告；拒不改正的，处五千元以上五万元以下罚款；情节严重的，责令停产停业，直至吊销许可证;…（三）食品、食品添加剂生产经营者进货时未查验许可证和相关证明文件，或者未按规定建立并遵守进货查验记录、出厂检验记录和销售记录制度。</w:t>
      </w:r>
    </w:p>
    <w:p>
      <w:pPr>
        <w:spacing w:line="520" w:lineRule="exact"/>
        <w:ind w:firstLine="640" w:firstLineChars="200"/>
        <w:rPr>
          <w:rFonts w:hint="eastAsia" w:ascii="仿宋" w:hAnsi="仿宋" w:eastAsia="仿宋" w:cs="仿宋"/>
          <w:bCs/>
          <w:sz w:val="32"/>
          <w:szCs w:val="32"/>
          <w:u w:val="single"/>
        </w:rPr>
      </w:pPr>
      <w:r>
        <w:rPr>
          <w:rFonts w:hint="eastAsia" w:ascii="仿宋" w:hAnsi="仿宋" w:eastAsia="仿宋" w:cs="仿宋"/>
          <w:bCs/>
          <w:sz w:val="32"/>
          <w:szCs w:val="32"/>
          <w:u w:val="single"/>
          <w:lang w:val="en-US" w:eastAsia="zh-CN"/>
        </w:rPr>
        <w:t>因当事人系初次违法，在本案中能积极配合办案人员调查，如实陈述违法事实并主动提供证据材料，通过整改报告发现当事人已认识到涉嫌违法行为带来的危害并承诺加强食品进货查验制度的落实，主观态度较为积极，根据《市场监管总局关于规范市场监督管理行政处罚裁量权的指导意见》第（七）项第3目第1条：“有下列情形之一的，可以依法从轻或者减轻行政处罚：（1）积极配合市场监管部门调查，如实陈述违法事实并主动提供证据材料的；”的规定，有从轻、减轻处罚情节。结合处罚与教育相结合、过罚相当、综合裁量原则综合考虑，办案人员建议对当事人减轻行政处罚。</w:t>
      </w:r>
    </w:p>
    <w:p>
      <w:pPr>
        <w:keepNext w:val="0"/>
        <w:keepLines w:val="0"/>
        <w:pageBreakBefore w:val="0"/>
        <w:overflowPunct/>
        <w:topLinePunct w:val="0"/>
        <w:bidi w:val="0"/>
        <w:spacing w:line="500" w:lineRule="exact"/>
        <w:ind w:left="226" w:right="133" w:firstLine="659"/>
        <w:rPr>
          <w:rFonts w:hint="eastAsia" w:ascii="仿宋" w:hAnsi="仿宋" w:eastAsia="仿宋" w:cs="仿宋"/>
          <w:sz w:val="32"/>
          <w:szCs w:val="32"/>
        </w:rPr>
      </w:pPr>
      <w:r>
        <w:rPr>
          <w:rFonts w:hint="eastAsia" w:ascii="仿宋" w:hAnsi="仿宋" w:eastAsia="仿宋" w:cs="仿宋"/>
          <w:spacing w:val="-9"/>
          <w:sz w:val="32"/>
          <w:szCs w:val="32"/>
        </w:rPr>
        <w:t>综上，当事人上述行为</w:t>
      </w:r>
      <w:r>
        <w:rPr>
          <w:rFonts w:hint="eastAsia" w:ascii="仿宋" w:hAnsi="仿宋" w:eastAsia="仿宋" w:cs="仿宋"/>
          <w:sz w:val="32"/>
          <w:szCs w:val="32"/>
          <w:u w:val="single"/>
          <w:lang w:eastAsia="zh-CN"/>
        </w:rPr>
        <w:t>违反了</w:t>
      </w:r>
      <w:r>
        <w:rPr>
          <w:rFonts w:hint="eastAsia" w:ascii="仿宋" w:hAnsi="仿宋" w:eastAsia="仿宋" w:cs="仿宋"/>
          <w:sz w:val="32"/>
          <w:szCs w:val="32"/>
          <w:u w:val="single"/>
          <w:lang w:val="en-US" w:eastAsia="zh-CN"/>
        </w:rPr>
        <w:t>《中华人民共和国食品安全法》第三十四条第一款第二项，第五十三条第一项的规定</w:t>
      </w:r>
      <w:r>
        <w:rPr>
          <w:rFonts w:hint="eastAsia" w:ascii="Times New Roman" w:hAnsi="仿宋_GB2312" w:eastAsia="仿宋_GB2312" w:cs="仿宋_GB2312"/>
          <w:bCs/>
          <w:sz w:val="32"/>
          <w:szCs w:val="32"/>
          <w:u w:val="single"/>
          <w:lang w:val="en-US" w:eastAsia="zh-CN"/>
        </w:rPr>
        <w:t>，依据</w:t>
      </w:r>
      <w:r>
        <w:rPr>
          <w:rFonts w:hint="eastAsia" w:ascii="仿宋" w:hAnsi="仿宋" w:eastAsia="仿宋" w:cs="仿宋"/>
          <w:bCs/>
          <w:sz w:val="32"/>
          <w:szCs w:val="32"/>
          <w:u w:val="single"/>
          <w:lang w:eastAsia="zh-CN"/>
        </w:rPr>
        <w:t>《中华人民共和国食品安全法》第一百二十四条第一款第一项的规定</w:t>
      </w:r>
      <w:r>
        <w:rPr>
          <w:rFonts w:hint="eastAsia" w:ascii="仿宋" w:hAnsi="仿宋" w:eastAsia="仿宋" w:cs="仿宋"/>
          <w:bCs/>
          <w:sz w:val="32"/>
          <w:szCs w:val="32"/>
          <w:u w:val="single"/>
          <w:lang w:val="en-US" w:eastAsia="zh-CN"/>
        </w:rPr>
        <w:t>，现责令当事人改正上述违法行为，决定处罚如下：</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u w:val="single"/>
          <w:lang w:eastAsia="zh-CN"/>
        </w:rPr>
      </w:pPr>
      <w:r>
        <w:rPr>
          <w:rFonts w:hint="eastAsia" w:ascii="仿宋" w:hAnsi="仿宋" w:eastAsia="仿宋" w:cs="仿宋"/>
          <w:spacing w:val="0"/>
          <w:kern w:val="0"/>
          <w:sz w:val="32"/>
          <w:szCs w:val="32"/>
          <w:highlight w:val="none"/>
          <w:u w:val="single"/>
          <w:lang w:val="en-US" w:eastAsia="zh-CN"/>
        </w:rPr>
        <w:t>（1）.</w:t>
      </w:r>
      <w:r>
        <w:rPr>
          <w:rFonts w:hint="eastAsia" w:ascii="仿宋" w:hAnsi="仿宋" w:eastAsia="仿宋" w:cs="仿宋"/>
          <w:sz w:val="32"/>
          <w:szCs w:val="32"/>
          <w:u w:val="single"/>
          <w:lang w:val="en-US" w:eastAsia="zh-CN"/>
        </w:rPr>
        <w:t>未履行进货查验制度的</w:t>
      </w:r>
      <w:r>
        <w:rPr>
          <w:rFonts w:hint="eastAsia" w:ascii="仿宋" w:hAnsi="仿宋" w:eastAsia="仿宋" w:cs="仿宋"/>
          <w:sz w:val="32"/>
          <w:szCs w:val="32"/>
          <w:u w:val="single"/>
          <w:lang w:eastAsia="zh-CN"/>
        </w:rPr>
        <w:t>违法行为给予警告；</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 w:hAnsi="仿宋" w:eastAsia="仿宋" w:cs="仿宋"/>
          <w:spacing w:val="0"/>
          <w:kern w:val="0"/>
          <w:sz w:val="32"/>
          <w:szCs w:val="32"/>
          <w:highlight w:val="none"/>
          <w:u w:val="single"/>
          <w:lang w:val="en-US" w:eastAsia="zh-CN"/>
        </w:rPr>
      </w:pPr>
      <w:r>
        <w:rPr>
          <w:rFonts w:hint="eastAsia" w:ascii="仿宋" w:hAnsi="仿宋" w:eastAsia="仿宋" w:cs="仿宋"/>
          <w:spacing w:val="0"/>
          <w:kern w:val="0"/>
          <w:sz w:val="32"/>
          <w:szCs w:val="32"/>
          <w:highlight w:val="none"/>
          <w:u w:val="single"/>
          <w:lang w:val="en-US" w:eastAsia="zh-CN"/>
        </w:rPr>
        <w:t>（2）.罚款600元、没收违法所得20元；</w:t>
      </w:r>
    </w:p>
    <w:p>
      <w:pPr>
        <w:pStyle w:val="2"/>
        <w:keepNext w:val="0"/>
        <w:keepLines w:val="0"/>
        <w:pageBreakBefore w:val="0"/>
        <w:tabs>
          <w:tab w:val="left" w:pos="9060"/>
        </w:tabs>
        <w:kinsoku/>
        <w:overflowPunct/>
        <w:topLinePunct w:val="0"/>
        <w:bidi w:val="0"/>
        <w:spacing w:line="560" w:lineRule="exact"/>
        <w:ind w:firstLine="640"/>
        <w:textAlignment w:val="auto"/>
        <w:rPr>
          <w:rFonts w:hint="eastAsia" w:ascii="仿宋_GB2312" w:hAnsi="仿宋_GB2312" w:eastAsia="仿宋" w:cs="仿宋_GB2312"/>
          <w:spacing w:val="0"/>
          <w:kern w:val="0"/>
          <w:sz w:val="32"/>
          <w:szCs w:val="32"/>
          <w:highlight w:val="none"/>
          <w:u w:val="single"/>
          <w:lang w:val="en-US" w:eastAsia="zh-CN"/>
        </w:rPr>
      </w:pPr>
      <w:r>
        <w:rPr>
          <w:rFonts w:hint="eastAsia" w:ascii="仿宋" w:hAnsi="仿宋" w:eastAsia="仿宋" w:cs="仿宋"/>
          <w:spacing w:val="0"/>
          <w:kern w:val="0"/>
          <w:sz w:val="32"/>
          <w:szCs w:val="32"/>
          <w:highlight w:val="none"/>
          <w:u w:val="single"/>
          <w:lang w:val="en-US" w:eastAsia="zh-CN"/>
        </w:rPr>
        <w:t>以上罚没款合计620元（大写陆佰贰拾元）。</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_GB2312" w:hAnsi="仿宋_GB2312" w:eastAsia="仿宋" w:cs="仿宋_GB2312"/>
          <w:spacing w:val="0"/>
          <w:kern w:val="0"/>
          <w:sz w:val="32"/>
          <w:szCs w:val="32"/>
          <w:u w:val="single"/>
          <w:lang w:val="en-US" w:eastAsia="zh-CN"/>
        </w:rPr>
      </w:pPr>
      <w:r>
        <w:rPr>
          <w:rFonts w:hint="eastAsia" w:ascii="仿宋_GB2312" w:hAnsi="仿宋_GB2312" w:eastAsia="仿宋" w:cs="仿宋_GB2312"/>
          <w:spacing w:val="0"/>
          <w:kern w:val="0"/>
          <w:sz w:val="32"/>
          <w:szCs w:val="32"/>
          <w:u w:val="none"/>
          <w:lang w:val="en-US" w:eastAsia="zh-CN"/>
        </w:rPr>
        <w:t>当事人应当自收到行政处罚决定书之日起十五日内，将罚没款缴至</w:t>
      </w:r>
      <w:r>
        <w:rPr>
          <w:rFonts w:hint="eastAsia" w:ascii="仿宋_GB2312" w:hAnsi="仿宋_GB2312" w:eastAsia="仿宋" w:cs="仿宋_GB2312"/>
          <w:spacing w:val="0"/>
          <w:kern w:val="0"/>
          <w:sz w:val="32"/>
          <w:szCs w:val="32"/>
          <w:u w:val="single"/>
          <w:lang w:val="en-US" w:eastAsia="zh-CN"/>
        </w:rPr>
        <w:t>中国工商</w:t>
      </w:r>
      <w:r>
        <w:rPr>
          <w:rFonts w:hint="eastAsia" w:ascii="仿宋_GB2312" w:hAnsi="仿宋_GB2312" w:eastAsia="仿宋" w:cs="仿宋_GB2312"/>
          <w:spacing w:val="0"/>
          <w:kern w:val="0"/>
          <w:sz w:val="32"/>
          <w:szCs w:val="32"/>
          <w:u w:val="none"/>
          <w:lang w:val="en-US" w:eastAsia="zh-CN"/>
        </w:rPr>
        <w:t>银行（代收机构名称：</w:t>
      </w:r>
      <w:r>
        <w:rPr>
          <w:rFonts w:hint="eastAsia" w:ascii="仿宋_GB2312" w:hAnsi="仿宋_GB2312" w:eastAsia="仿宋" w:cs="仿宋_GB2312"/>
          <w:spacing w:val="0"/>
          <w:kern w:val="0"/>
          <w:sz w:val="32"/>
          <w:szCs w:val="32"/>
          <w:u w:val="single"/>
          <w:lang w:val="en-US" w:eastAsia="zh-CN"/>
        </w:rPr>
        <w:t>泽普县财政局</w:t>
      </w:r>
      <w:r>
        <w:rPr>
          <w:rFonts w:hint="eastAsia" w:ascii="仿宋_GB2312" w:hAnsi="仿宋_GB2312" w:eastAsia="仿宋" w:cs="仿宋_GB2312"/>
          <w:spacing w:val="0"/>
          <w:kern w:val="0"/>
          <w:sz w:val="32"/>
          <w:szCs w:val="32"/>
          <w:u w:val="none"/>
          <w:lang w:val="en-US" w:eastAsia="zh-CN"/>
        </w:rPr>
        <w:t>，帐号：</w:t>
      </w:r>
      <w:r>
        <w:rPr>
          <w:rFonts w:hint="eastAsia" w:ascii="仿宋_GB2312" w:hAnsi="仿宋_GB2312" w:eastAsia="仿宋" w:cs="仿宋_GB2312"/>
          <w:spacing w:val="0"/>
          <w:kern w:val="0"/>
          <w:sz w:val="32"/>
          <w:szCs w:val="32"/>
          <w:u w:val="single"/>
          <w:lang w:val="en-US" w:eastAsia="zh-CN"/>
        </w:rPr>
        <w:t>3012350029200005839</w:t>
      </w:r>
      <w:r>
        <w:rPr>
          <w:rFonts w:hint="eastAsia" w:ascii="仿宋_GB2312" w:hAnsi="仿宋_GB2312" w:eastAsia="仿宋" w:cs="仿宋_GB2312"/>
          <w:spacing w:val="0"/>
          <w:kern w:val="0"/>
          <w:sz w:val="32"/>
          <w:szCs w:val="32"/>
          <w:u w:val="none"/>
          <w:lang w:val="en-US" w:eastAsia="zh-CN"/>
        </w:rPr>
        <w:t>）。到期不缴纳罚款的，依据《中华人民共和国行政处罚法》第七十二条的规定，本局将每日按罚款数额的百分之三加处罚款，并依法申请法院强制执行。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如你（单位）不服本行政处罚决定，可以在收到本行政处罚决定书之日起六十日内向</w:t>
      </w:r>
      <w:r>
        <w:rPr>
          <w:rFonts w:hint="eastAsia" w:ascii="仿宋_GB2312" w:hAnsi="仿宋_GB2312" w:eastAsia="仿宋" w:cs="仿宋_GB2312"/>
          <w:spacing w:val="0"/>
          <w:kern w:val="0"/>
          <w:sz w:val="32"/>
          <w:szCs w:val="32"/>
          <w:u w:val="single"/>
          <w:lang w:val="en-US" w:eastAsia="zh-CN"/>
        </w:rPr>
        <w:t>泽普县人民政府</w:t>
      </w:r>
      <w:r>
        <w:rPr>
          <w:rFonts w:hint="eastAsia" w:ascii="仿宋_GB2312" w:hAnsi="仿宋_GB2312" w:eastAsia="仿宋" w:cs="仿宋_GB2312"/>
          <w:spacing w:val="0"/>
          <w:kern w:val="0"/>
          <w:sz w:val="32"/>
          <w:szCs w:val="32"/>
          <w:u w:val="none"/>
          <w:lang w:val="en-US" w:eastAsia="zh-CN"/>
        </w:rPr>
        <w:t>申请行政复议；也可以在六个月内依法向</w:t>
      </w:r>
      <w:r>
        <w:rPr>
          <w:rFonts w:hint="eastAsia" w:ascii="仿宋_GB2312" w:hAnsi="仿宋_GB2312" w:eastAsia="仿宋" w:cs="仿宋_GB2312"/>
          <w:spacing w:val="0"/>
          <w:kern w:val="0"/>
          <w:sz w:val="32"/>
          <w:szCs w:val="32"/>
          <w:u w:val="single"/>
          <w:lang w:val="en-US" w:eastAsia="zh-CN"/>
        </w:rPr>
        <w:t>泽普县</w:t>
      </w:r>
      <w:r>
        <w:rPr>
          <w:rFonts w:hint="eastAsia" w:ascii="仿宋_GB2312" w:hAnsi="仿宋_GB2312" w:eastAsia="仿宋" w:cs="仿宋_GB2312"/>
          <w:spacing w:val="0"/>
          <w:kern w:val="0"/>
          <w:sz w:val="32"/>
          <w:szCs w:val="32"/>
          <w:u w:val="none"/>
          <w:lang w:val="en-US" w:eastAsia="zh-CN"/>
        </w:rPr>
        <w:t>人民法院提起行政诉讼。申请行政复议或者提起行政诉讼期间，行政处罚不停止执行。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jc w:val="right"/>
        <w:textAlignment w:val="auto"/>
        <w:rPr>
          <w:rFonts w:hint="eastAsia" w:ascii="仿宋_GB2312" w:hAnsi="仿宋_GB2312" w:eastAsia="仿宋" w:cs="仿宋_GB2312"/>
          <w:spacing w:val="0"/>
          <w:kern w:val="0"/>
          <w:sz w:val="32"/>
          <w:szCs w:val="32"/>
          <w:u w:val="none"/>
          <w:lang w:val="en-US" w:eastAsia="zh-CN"/>
        </w:rPr>
      </w:pPr>
      <w:bookmarkStart w:id="0" w:name="_GoBack"/>
      <w:r>
        <w:rPr>
          <w:rFonts w:hint="eastAsia" w:ascii="仿宋_GB2312" w:hAnsi="仿宋_GB2312" w:eastAsia="仿宋" w:cs="仿宋_GB2312"/>
          <w:spacing w:val="0"/>
          <w:kern w:val="0"/>
          <w:sz w:val="32"/>
          <w:szCs w:val="32"/>
          <w:u w:val="none"/>
          <w:lang w:val="en-US" w:eastAsia="zh-CN"/>
        </w:rPr>
        <w:drawing>
          <wp:anchor distT="0" distB="0" distL="114300" distR="114300" simplePos="0" relativeHeight="251663360" behindDoc="1" locked="0" layoutInCell="1" allowOverlap="1">
            <wp:simplePos x="0" y="0"/>
            <wp:positionH relativeFrom="column">
              <wp:posOffset>3772535</wp:posOffset>
            </wp:positionH>
            <wp:positionV relativeFrom="paragraph">
              <wp:posOffset>156845</wp:posOffset>
            </wp:positionV>
            <wp:extent cx="1247775" cy="1191260"/>
            <wp:effectExtent l="0" t="0" r="9525" b="8890"/>
            <wp:wrapNone/>
            <wp:docPr id="1" name="图片 1"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章"/>
                    <pic:cNvPicPr>
                      <a:picLocks noChangeAspect="1"/>
                    </pic:cNvPicPr>
                  </pic:nvPicPr>
                  <pic:blipFill>
                    <a:blip r:embed="rId4">
                      <a:clrChange>
                        <a:clrFrom>
                          <a:srgbClr val="FFFFFF">
                            <a:alpha val="100000"/>
                          </a:srgbClr>
                        </a:clrFrom>
                        <a:clrTo>
                          <a:srgbClr val="FFFFFF">
                            <a:alpha val="100000"/>
                            <a:alpha val="0"/>
                          </a:srgbClr>
                        </a:clrTo>
                      </a:clrChange>
                    </a:blip>
                    <a:stretch>
                      <a:fillRect/>
                    </a:stretch>
                  </pic:blipFill>
                  <pic:spPr>
                    <a:xfrm>
                      <a:off x="0" y="0"/>
                      <a:ext cx="1247775" cy="1191260"/>
                    </a:xfrm>
                    <a:prstGeom prst="rect">
                      <a:avLst/>
                    </a:prstGeom>
                  </pic:spPr>
                </pic:pic>
              </a:graphicData>
            </a:graphic>
          </wp:anchor>
        </w:drawing>
      </w:r>
      <w:bookmarkEnd w:id="0"/>
      <w:r>
        <w:rPr>
          <w:rFonts w:hint="eastAsia" w:ascii="仿宋_GB2312" w:hAnsi="仿宋_GB2312" w:eastAsia="仿宋" w:cs="仿宋_GB2312"/>
          <w:spacing w:val="0"/>
          <w:kern w:val="0"/>
          <w:sz w:val="32"/>
          <w:szCs w:val="32"/>
          <w:u w:val="none"/>
          <w:lang w:val="en-US" w:eastAsia="zh-CN"/>
        </w:rPr>
        <w:t>泽普县市</w:t>
      </w:r>
      <w:r>
        <w:rPr>
          <w:rFonts w:hint="eastAsia" w:ascii="仿宋" w:hAnsi="仿宋" w:eastAsia="仿宋" w:cs="仿宋"/>
          <w:sz w:val="32"/>
          <w:szCs w:val="32"/>
          <w:lang w:val="en-US" w:eastAsia="zh-CN"/>
        </w:rPr>
        <w:drawing>
          <wp:anchor distT="0" distB="0" distL="114300" distR="114300" simplePos="0" relativeHeight="251661312" behindDoc="1" locked="0" layoutInCell="1" allowOverlap="1">
            <wp:simplePos x="0" y="0"/>
            <wp:positionH relativeFrom="column">
              <wp:posOffset>4479925</wp:posOffset>
            </wp:positionH>
            <wp:positionV relativeFrom="paragraph">
              <wp:posOffset>8338820</wp:posOffset>
            </wp:positionV>
            <wp:extent cx="1468120" cy="1401445"/>
            <wp:effectExtent l="0" t="0" r="17780" b="8255"/>
            <wp:wrapNone/>
            <wp:docPr id="2" name="图片 6"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4327525</wp:posOffset>
            </wp:positionH>
            <wp:positionV relativeFrom="paragraph">
              <wp:posOffset>8186420</wp:posOffset>
            </wp:positionV>
            <wp:extent cx="1468120" cy="1401445"/>
            <wp:effectExtent l="0" t="0" r="17780" b="8255"/>
            <wp:wrapNone/>
            <wp:docPr id="4" name="图片 5"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场监</w:t>
      </w:r>
      <w:r>
        <w:rPr>
          <w:rFonts w:hint="eastAsia" w:ascii="仿宋" w:hAnsi="仿宋" w:eastAsia="仿宋" w:cs="仿宋"/>
          <w:sz w:val="32"/>
          <w:szCs w:val="32"/>
          <w:lang w:val="en-US" w:eastAsia="zh-CN"/>
        </w:rPr>
        <w:drawing>
          <wp:anchor distT="0" distB="0" distL="114300" distR="114300" simplePos="0" relativeHeight="251662336" behindDoc="1" locked="0" layoutInCell="1" allowOverlap="1">
            <wp:simplePos x="0" y="0"/>
            <wp:positionH relativeFrom="column">
              <wp:posOffset>4632325</wp:posOffset>
            </wp:positionH>
            <wp:positionV relativeFrom="paragraph">
              <wp:posOffset>8491220</wp:posOffset>
            </wp:positionV>
            <wp:extent cx="1468120" cy="1401445"/>
            <wp:effectExtent l="0" t="0" r="17780" b="8255"/>
            <wp:wrapNone/>
            <wp:docPr id="5" name="图片 7"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章"/>
                    <pic:cNvPicPr>
                      <a:picLocks noChangeAspect="1"/>
                    </pic:cNvPicPr>
                  </pic:nvPicPr>
                  <pic:blipFill>
                    <a:blip r:embed="rId5"/>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督管理局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center"/>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 xml:space="preserve">                                 (印章)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ascii="黑体" w:hAnsi="黑体" w:eastAsia="黑体" w:cs="黑体"/>
          <w:color w:val="231F20"/>
          <w:spacing w:val="-31"/>
          <w:sz w:val="32"/>
          <w:szCs w:val="32"/>
        </w:rPr>
      </w:pPr>
      <w:r>
        <w:rPr>
          <w:rFonts w:hint="eastAsia" w:ascii="仿宋_GB2312" w:hAnsi="仿宋_GB2312" w:eastAsia="仿宋" w:cs="仿宋_GB2312"/>
          <w:spacing w:val="0"/>
          <w:kern w:val="0"/>
          <w:sz w:val="32"/>
          <w:szCs w:val="32"/>
          <w:u w:val="none"/>
          <w:lang w:val="en-US" w:eastAsia="zh-CN"/>
        </w:rPr>
        <w:t>2023年11月9日</w:t>
      </w:r>
    </w:p>
    <w:p>
      <w:pPr>
        <w:keepNext w:val="0"/>
        <w:keepLines w:val="0"/>
        <w:pageBreakBefore w:val="0"/>
        <w:widowControl/>
        <w:kinsoku w:val="0"/>
        <w:wordWrap/>
        <w:overflowPunct/>
        <w:topLinePunct w:val="0"/>
        <w:autoSpaceDE w:val="0"/>
        <w:autoSpaceDN w:val="0"/>
        <w:bidi w:val="0"/>
        <w:adjustRightInd w:val="0"/>
        <w:snapToGrid w:val="0"/>
        <w:spacing w:before="157" w:beforeLines="50" w:line="500" w:lineRule="exact"/>
        <w:ind w:firstLine="403"/>
        <w:textAlignment w:val="baseline"/>
        <w:rPr>
          <w:rFonts w:ascii="Microsoft JhengHei"/>
          <w:sz w:val="21"/>
        </w:rPr>
      </w:pPr>
      <w:r>
        <w:rPr>
          <w:rFonts w:ascii="黑体" w:hAnsi="黑体" w:eastAsia="黑体" w:cs="黑体"/>
          <w:color w:val="231F20"/>
          <w:spacing w:val="-31"/>
          <w:sz w:val="32"/>
          <w:szCs w:val="32"/>
        </w:rPr>
        <w:t>（市场监督管理部门将依法向社会公开行政处罚决定信息）</w:t>
      </w:r>
    </w:p>
    <w:p>
      <w:pPr>
        <w:keepNext w:val="0"/>
        <w:keepLines w:val="0"/>
        <w:pageBreakBefore w:val="0"/>
        <w:overflowPunct/>
        <w:topLinePunct w:val="0"/>
        <w:bidi w:val="0"/>
        <w:spacing w:line="500" w:lineRule="exact"/>
        <w:textAlignment w:val="center"/>
      </w:pPr>
      <w:r>
        <w:drawing>
          <wp:inline distT="0" distB="0" distL="0" distR="0">
            <wp:extent cx="5550535" cy="15875"/>
            <wp:effectExtent l="0" t="0" r="0" b="0"/>
            <wp:docPr id="9" name="IM 229"/>
            <wp:cNvGraphicFramePr/>
            <a:graphic xmlns:a="http://schemas.openxmlformats.org/drawingml/2006/main">
              <a:graphicData uri="http://schemas.openxmlformats.org/drawingml/2006/picture">
                <pic:pic xmlns:pic="http://schemas.openxmlformats.org/drawingml/2006/picture">
                  <pic:nvPicPr>
                    <pic:cNvPr id="9" name="IM 229"/>
                    <pic:cNvPicPr/>
                  </pic:nvPicPr>
                  <pic:blipFill>
                    <a:blip r:embed="rId6"/>
                    <a:stretch>
                      <a:fillRect/>
                    </a:stretch>
                  </pic:blipFill>
                  <pic:spPr>
                    <a:xfrm>
                      <a:off x="0" y="0"/>
                      <a:ext cx="5550535" cy="16509"/>
                    </a:xfrm>
                    <a:prstGeom prst="rect">
                      <a:avLst/>
                    </a:prstGeom>
                  </pic:spPr>
                </pic:pic>
              </a:graphicData>
            </a:graphic>
          </wp:inline>
        </w:drawing>
      </w:r>
    </w:p>
    <w:p>
      <w:pPr>
        <w:keepNext w:val="0"/>
        <w:keepLines w:val="0"/>
        <w:pageBreakBefore w:val="0"/>
        <w:overflowPunct/>
        <w:topLinePunct w:val="0"/>
        <w:bidi w:val="0"/>
        <w:spacing w:line="500" w:lineRule="exact"/>
      </w:pPr>
      <w:r>
        <w:rPr>
          <w:rFonts w:ascii="仿宋" w:hAnsi="仿宋" w:eastAsia="仿宋" w:cs="仿宋"/>
          <w:spacing w:val="-10"/>
          <w:sz w:val="32"/>
          <w:szCs w:val="32"/>
        </w:rPr>
        <w:t>本文书一式</w:t>
      </w:r>
      <w:r>
        <w:rPr>
          <w:rFonts w:ascii="仿宋" w:hAnsi="仿宋" w:eastAsia="仿宋" w:cs="仿宋"/>
          <w:spacing w:val="6"/>
          <w:sz w:val="32"/>
          <w:szCs w:val="32"/>
          <w:u w:val="single" w:color="auto"/>
        </w:rPr>
        <w:t xml:space="preserve">  </w:t>
      </w:r>
      <w:r>
        <w:rPr>
          <w:rFonts w:hint="eastAsia" w:ascii="仿宋" w:hAnsi="仿宋" w:eastAsia="仿宋" w:cs="仿宋"/>
          <w:spacing w:val="6"/>
          <w:sz w:val="32"/>
          <w:szCs w:val="32"/>
          <w:u w:val="single" w:color="auto"/>
          <w:lang w:val="en-US" w:eastAsia="zh-CN"/>
        </w:rPr>
        <w:t>2</w:t>
      </w:r>
      <w:r>
        <w:rPr>
          <w:rFonts w:ascii="仿宋" w:hAnsi="仿宋" w:eastAsia="仿宋" w:cs="仿宋"/>
          <w:spacing w:val="6"/>
          <w:sz w:val="32"/>
          <w:szCs w:val="32"/>
          <w:u w:val="single" w:color="auto"/>
        </w:rPr>
        <w:t xml:space="preserve">  </w:t>
      </w:r>
      <w:r>
        <w:rPr>
          <w:rFonts w:ascii="仿宋" w:hAnsi="仿宋" w:eastAsia="仿宋" w:cs="仿宋"/>
          <w:spacing w:val="-10"/>
          <w:sz w:val="32"/>
          <w:szCs w:val="32"/>
        </w:rPr>
        <w:t>份，</w:t>
      </w:r>
      <w:r>
        <w:rPr>
          <w:rFonts w:ascii="仿宋" w:hAnsi="仿宋" w:eastAsia="仿宋" w:cs="仿宋"/>
          <w:spacing w:val="20"/>
          <w:sz w:val="32"/>
          <w:szCs w:val="32"/>
          <w:u w:val="single" w:color="auto"/>
        </w:rPr>
        <w:t xml:space="preserve">  </w:t>
      </w:r>
      <w:r>
        <w:rPr>
          <w:rFonts w:hint="eastAsia" w:ascii="仿宋" w:hAnsi="仿宋" w:eastAsia="仿宋" w:cs="仿宋"/>
          <w:spacing w:val="20"/>
          <w:sz w:val="32"/>
          <w:szCs w:val="32"/>
          <w:u w:val="single" w:color="auto"/>
          <w:lang w:val="en-US" w:eastAsia="zh-CN"/>
        </w:rPr>
        <w:t>1</w:t>
      </w:r>
      <w:r>
        <w:rPr>
          <w:rFonts w:ascii="仿宋" w:hAnsi="仿宋" w:eastAsia="仿宋" w:cs="仿宋"/>
          <w:spacing w:val="20"/>
          <w:sz w:val="32"/>
          <w:szCs w:val="32"/>
          <w:u w:val="single" w:color="auto"/>
        </w:rPr>
        <w:t xml:space="preserve"> </w:t>
      </w:r>
      <w:r>
        <w:rPr>
          <w:rFonts w:ascii="仿宋" w:hAnsi="仿宋" w:eastAsia="仿宋" w:cs="仿宋"/>
          <w:spacing w:val="-10"/>
          <w:sz w:val="32"/>
          <w:szCs w:val="32"/>
        </w:rPr>
        <w:t>份送达，一份归档，</w:t>
      </w:r>
      <w:r>
        <w:rPr>
          <w:rFonts w:ascii="仿宋" w:hAnsi="仿宋" w:eastAsia="仿宋" w:cs="仿宋"/>
          <w:spacing w:val="3"/>
          <w:sz w:val="32"/>
          <w:szCs w:val="32"/>
          <w:u w:val="single" w:color="auto"/>
        </w:rPr>
        <w:t xml:space="preserve">  </w:t>
      </w:r>
      <w:r>
        <w:rPr>
          <w:rFonts w:hint="eastAsia" w:ascii="仿宋" w:hAnsi="仿宋" w:eastAsia="仿宋" w:cs="仿宋"/>
          <w:spacing w:val="3"/>
          <w:sz w:val="32"/>
          <w:szCs w:val="32"/>
          <w:u w:val="single" w:color="auto"/>
          <w:lang w:val="en-US" w:eastAsia="zh-CN"/>
        </w:rPr>
        <w:t>/</w:t>
      </w:r>
      <w:r>
        <w:rPr>
          <w:rFonts w:ascii="仿宋" w:hAnsi="仿宋" w:eastAsia="仿宋" w:cs="仿宋"/>
          <w:spacing w:val="3"/>
          <w:sz w:val="32"/>
          <w:szCs w:val="32"/>
          <w:u w:val="single" w:color="auto"/>
        </w:rPr>
        <w:t xml:space="preserve">     </w:t>
      </w:r>
      <w:r>
        <w:rPr>
          <w:rFonts w:ascii="仿宋" w:hAnsi="仿宋" w:eastAsia="仿宋" w:cs="仿宋"/>
          <w:spacing w:val="-10"/>
          <w:sz w:val="32"/>
          <w:szCs w:val="32"/>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2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Microsoft JhengHei">
    <w:panose1 w:val="020B0604030504040204"/>
    <w:charset w:val="88"/>
    <w:family w:val="auto"/>
    <w:pitch w:val="default"/>
    <w:sig w:usb0="00000087" w:usb1="28AF4000" w:usb2="00000016" w:usb3="00000000" w:csb0="00100009"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hjYmUyNWJkNWRkNDU0NWM1ZWM4MTQwNDk2ZTUwZTYifQ=="/>
  </w:docVars>
  <w:rsids>
    <w:rsidRoot w:val="0075798C"/>
    <w:rsid w:val="00002DEA"/>
    <w:rsid w:val="000454B8"/>
    <w:rsid w:val="0005682C"/>
    <w:rsid w:val="0007121F"/>
    <w:rsid w:val="000941C6"/>
    <w:rsid w:val="000A73B1"/>
    <w:rsid w:val="000B235A"/>
    <w:rsid w:val="000D18CC"/>
    <w:rsid w:val="00193544"/>
    <w:rsid w:val="001D4404"/>
    <w:rsid w:val="0020247F"/>
    <w:rsid w:val="0021791A"/>
    <w:rsid w:val="00235807"/>
    <w:rsid w:val="00305CAA"/>
    <w:rsid w:val="00310002"/>
    <w:rsid w:val="0037689F"/>
    <w:rsid w:val="0038660E"/>
    <w:rsid w:val="00392C9A"/>
    <w:rsid w:val="00393501"/>
    <w:rsid w:val="003A78B0"/>
    <w:rsid w:val="003D62BB"/>
    <w:rsid w:val="00441AA1"/>
    <w:rsid w:val="00484DE7"/>
    <w:rsid w:val="004971CD"/>
    <w:rsid w:val="004A653D"/>
    <w:rsid w:val="004E2439"/>
    <w:rsid w:val="00505D5E"/>
    <w:rsid w:val="005215A1"/>
    <w:rsid w:val="00526CDC"/>
    <w:rsid w:val="00544913"/>
    <w:rsid w:val="00570671"/>
    <w:rsid w:val="00571F45"/>
    <w:rsid w:val="005D08B2"/>
    <w:rsid w:val="005D5B72"/>
    <w:rsid w:val="005E186F"/>
    <w:rsid w:val="005E31A8"/>
    <w:rsid w:val="005F796D"/>
    <w:rsid w:val="006126AC"/>
    <w:rsid w:val="00631AC9"/>
    <w:rsid w:val="00640190"/>
    <w:rsid w:val="00650687"/>
    <w:rsid w:val="00656E43"/>
    <w:rsid w:val="006801F6"/>
    <w:rsid w:val="006A7B14"/>
    <w:rsid w:val="00705BFF"/>
    <w:rsid w:val="00717998"/>
    <w:rsid w:val="0073548C"/>
    <w:rsid w:val="007448DA"/>
    <w:rsid w:val="0075798C"/>
    <w:rsid w:val="00763223"/>
    <w:rsid w:val="007A1A7F"/>
    <w:rsid w:val="007E7082"/>
    <w:rsid w:val="00821F63"/>
    <w:rsid w:val="00827AF5"/>
    <w:rsid w:val="0083040E"/>
    <w:rsid w:val="008315F6"/>
    <w:rsid w:val="00840E11"/>
    <w:rsid w:val="00843121"/>
    <w:rsid w:val="0085785E"/>
    <w:rsid w:val="00872C3A"/>
    <w:rsid w:val="008770AB"/>
    <w:rsid w:val="00912866"/>
    <w:rsid w:val="00946009"/>
    <w:rsid w:val="0095381B"/>
    <w:rsid w:val="00976CD7"/>
    <w:rsid w:val="009A443B"/>
    <w:rsid w:val="00A058B9"/>
    <w:rsid w:val="00A13905"/>
    <w:rsid w:val="00A13F37"/>
    <w:rsid w:val="00A21D9B"/>
    <w:rsid w:val="00A515F7"/>
    <w:rsid w:val="00A71F1B"/>
    <w:rsid w:val="00AA6A16"/>
    <w:rsid w:val="00AE7F5A"/>
    <w:rsid w:val="00AF0AC2"/>
    <w:rsid w:val="00B035F1"/>
    <w:rsid w:val="00B35203"/>
    <w:rsid w:val="00B47D31"/>
    <w:rsid w:val="00BE7D32"/>
    <w:rsid w:val="00C45247"/>
    <w:rsid w:val="00C80E4E"/>
    <w:rsid w:val="00CA79AF"/>
    <w:rsid w:val="00D015F3"/>
    <w:rsid w:val="00D35F53"/>
    <w:rsid w:val="00D37155"/>
    <w:rsid w:val="00D5158B"/>
    <w:rsid w:val="00E322A3"/>
    <w:rsid w:val="00E60AE5"/>
    <w:rsid w:val="00E67D94"/>
    <w:rsid w:val="00E737B3"/>
    <w:rsid w:val="00EA2C71"/>
    <w:rsid w:val="00EA64D3"/>
    <w:rsid w:val="00EF2D41"/>
    <w:rsid w:val="00F12217"/>
    <w:rsid w:val="00F6708D"/>
    <w:rsid w:val="00FC2638"/>
    <w:rsid w:val="027C5214"/>
    <w:rsid w:val="035A72BF"/>
    <w:rsid w:val="07F92E63"/>
    <w:rsid w:val="087C5F39"/>
    <w:rsid w:val="0991537B"/>
    <w:rsid w:val="0B2B5170"/>
    <w:rsid w:val="0E0448B4"/>
    <w:rsid w:val="11AC3ABF"/>
    <w:rsid w:val="13B03DF5"/>
    <w:rsid w:val="13BC1AF2"/>
    <w:rsid w:val="179320E3"/>
    <w:rsid w:val="17A40733"/>
    <w:rsid w:val="180A0780"/>
    <w:rsid w:val="18222D82"/>
    <w:rsid w:val="18FC2405"/>
    <w:rsid w:val="19D6619F"/>
    <w:rsid w:val="1A910543"/>
    <w:rsid w:val="1AA55A63"/>
    <w:rsid w:val="1B7202A9"/>
    <w:rsid w:val="1CB00A08"/>
    <w:rsid w:val="1D056BA7"/>
    <w:rsid w:val="1D1C7EF7"/>
    <w:rsid w:val="262872F1"/>
    <w:rsid w:val="271B0579"/>
    <w:rsid w:val="28C72906"/>
    <w:rsid w:val="2A1610CF"/>
    <w:rsid w:val="2A5E75C7"/>
    <w:rsid w:val="2C59717D"/>
    <w:rsid w:val="2C7929C0"/>
    <w:rsid w:val="2CCE604E"/>
    <w:rsid w:val="2E440819"/>
    <w:rsid w:val="35B36AE2"/>
    <w:rsid w:val="365807E8"/>
    <w:rsid w:val="365A7599"/>
    <w:rsid w:val="36EC373E"/>
    <w:rsid w:val="39BD2A1C"/>
    <w:rsid w:val="39EF1D2D"/>
    <w:rsid w:val="3A021163"/>
    <w:rsid w:val="3B5D6970"/>
    <w:rsid w:val="3E87253D"/>
    <w:rsid w:val="40346FD3"/>
    <w:rsid w:val="41430879"/>
    <w:rsid w:val="419158DF"/>
    <w:rsid w:val="42875997"/>
    <w:rsid w:val="432522B0"/>
    <w:rsid w:val="43301127"/>
    <w:rsid w:val="438931CC"/>
    <w:rsid w:val="44124677"/>
    <w:rsid w:val="46233ED5"/>
    <w:rsid w:val="46E522D4"/>
    <w:rsid w:val="46FD1627"/>
    <w:rsid w:val="47AA03F6"/>
    <w:rsid w:val="4CC67F1C"/>
    <w:rsid w:val="4D943CD4"/>
    <w:rsid w:val="4DCE527F"/>
    <w:rsid w:val="4E5A5688"/>
    <w:rsid w:val="4FB60719"/>
    <w:rsid w:val="51A16539"/>
    <w:rsid w:val="56A67DFF"/>
    <w:rsid w:val="587421B6"/>
    <w:rsid w:val="58DD7B67"/>
    <w:rsid w:val="59BF3D83"/>
    <w:rsid w:val="5BE10001"/>
    <w:rsid w:val="5CA249EC"/>
    <w:rsid w:val="5DBD746F"/>
    <w:rsid w:val="624520A2"/>
    <w:rsid w:val="66386266"/>
    <w:rsid w:val="6724426A"/>
    <w:rsid w:val="67EB2E01"/>
    <w:rsid w:val="68804CC4"/>
    <w:rsid w:val="6BD95533"/>
    <w:rsid w:val="6C331E73"/>
    <w:rsid w:val="6C6725B1"/>
    <w:rsid w:val="6CC94CD8"/>
    <w:rsid w:val="6CE1187F"/>
    <w:rsid w:val="71222AE3"/>
    <w:rsid w:val="71874725"/>
    <w:rsid w:val="725D4060"/>
    <w:rsid w:val="73F97FBA"/>
    <w:rsid w:val="798F51BB"/>
    <w:rsid w:val="7A48544D"/>
    <w:rsid w:val="7AD974EC"/>
    <w:rsid w:val="7B1D0887"/>
    <w:rsid w:val="7BF00D74"/>
    <w:rsid w:val="7D864E17"/>
    <w:rsid w:val="7F0E4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rPr>
      <w:rFonts w:ascii="Arial Unicode MS" w:hAnsi="Arial Unicode MS" w:eastAsia="Arial Unicode MS" w:cs="Arial Unicode MS"/>
      <w:sz w:val="32"/>
      <w:szCs w:val="32"/>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unhideWhenUsed/>
    <w:qFormat/>
    <w:uiPriority w:val="99"/>
    <w:rPr>
      <w:color w:val="954F72"/>
      <w:u w:val="single"/>
    </w:rPr>
  </w:style>
  <w:style w:type="character" w:styleId="9">
    <w:name w:val="Hyperlink"/>
    <w:basedOn w:val="7"/>
    <w:unhideWhenUsed/>
    <w:qFormat/>
    <w:uiPriority w:val="99"/>
    <w:rPr>
      <w:color w:val="0563C1"/>
      <w:u w:val="single"/>
    </w:rPr>
  </w:style>
  <w:style w:type="character" w:customStyle="1" w:styleId="10">
    <w:name w:val="font01"/>
    <w:basedOn w:val="7"/>
    <w:qFormat/>
    <w:uiPriority w:val="0"/>
    <w:rPr>
      <w:rFonts w:hint="eastAsia" w:ascii="宋体" w:hAnsi="宋体" w:eastAsia="宋体" w:cs="宋体"/>
      <w:color w:val="000000"/>
      <w:sz w:val="22"/>
      <w:szCs w:val="22"/>
      <w:u w:val="none"/>
    </w:r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paragraph" w:customStyle="1" w:styleId="13">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
    <w:name w:val="xl65"/>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6">
    <w:name w:val="xl66"/>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1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b/>
      <w:bCs/>
      <w:kern w:val="0"/>
      <w:sz w:val="24"/>
    </w:rPr>
  </w:style>
  <w:style w:type="paragraph" w:customStyle="1" w:styleId="1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277</Words>
  <Characters>1585</Characters>
  <Lines>13</Lines>
  <Paragraphs>3</Paragraphs>
  <TotalTime>2</TotalTime>
  <ScaleCrop>false</ScaleCrop>
  <LinksUpToDate>false</LinksUpToDate>
  <CharactersWithSpaces>1859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2022-06-30T07:06:00Z</dcterms:created>
  <dc:creator>Administrator</dc:creator>
  <cp:lastModifiedBy>z我的唯一z</cp:lastModifiedBy>
  <cp:lastPrinted>2023-11-14T04:14:50Z</cp:lastPrinted>
  <dcterms:modified xsi:type="dcterms:W3CDTF">2023-11-14T04:16:25Z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53C97A1265A44DC3BDB98E570E5674FA</vt:lpwstr>
  </property>
</Properties>
</file>