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Lines="0" w:beforeAutospacing="0" w:after="0" w:afterLines="0" w:afterAutospacing="0"/>
        <w:jc w:val="center"/>
        <w:rPr>
          <w:rFonts w:hint="eastAsia" w:ascii="微软雅黑" w:hAnsi="微软雅黑" w:eastAsia="微软雅黑" w:cs="微软雅黑"/>
          <w:color w:val="333333"/>
          <w:sz w:val="38"/>
          <w:szCs w:val="38"/>
        </w:rPr>
      </w:pPr>
      <w:r>
        <w:rPr>
          <w:rFonts w:hint="eastAsia" w:ascii="微软雅黑" w:hAnsi="微软雅黑" w:eastAsia="微软雅黑" w:cs="微软雅黑"/>
          <w:color w:val="333333"/>
          <w:sz w:val="38"/>
          <w:szCs w:val="38"/>
        </w:rPr>
        <w:t>关于印发《新疆维吾尔自治区矿产资源管理若干事项暂行办法》的通知</w:t>
      </w:r>
    </w:p>
    <w:p>
      <w:pPr>
        <w:widowControl/>
        <w:spacing w:beforeLines="0" w:afterLines="0" w:line="560" w:lineRule="atLeast"/>
        <w:jc w:val="center"/>
        <w:rPr>
          <w:rFonts w:hint="default"/>
          <w:sz w:val="21"/>
          <w:szCs w:val="24"/>
        </w:rPr>
      </w:pPr>
      <w:r>
        <w:rPr>
          <w:rFonts w:hint="eastAsia" w:ascii="仿宋" w:hAnsi="仿宋" w:eastAsia="仿宋" w:cs="仿宋"/>
          <w:color w:val="000000"/>
          <w:kern w:val="0"/>
          <w:sz w:val="25"/>
          <w:szCs w:val="25"/>
          <w:shd w:val="clear" w:color="auto" w:fill="FFFFFF"/>
          <w:lang w:bidi="ar"/>
        </w:rPr>
        <w:t>新自然资规〔2021〕1号</w:t>
      </w:r>
    </w:p>
    <w:p>
      <w:pPr>
        <w:widowControl/>
        <w:spacing w:beforeLines="0" w:afterLines="0" w:line="560" w:lineRule="atLeast"/>
        <w:jc w:val="left"/>
        <w:rPr>
          <w:rFonts w:hint="default"/>
          <w:sz w:val="21"/>
          <w:szCs w:val="24"/>
        </w:rPr>
      </w:pPr>
    </w:p>
    <w:p>
      <w:pPr>
        <w:widowControl/>
        <w:spacing w:beforeLines="0" w:afterLines="0" w:line="560" w:lineRule="atLeast"/>
        <w:jc w:val="left"/>
        <w:rPr>
          <w:rFonts w:hint="default"/>
          <w:sz w:val="21"/>
          <w:szCs w:val="24"/>
        </w:rPr>
      </w:pPr>
      <w:r>
        <w:rPr>
          <w:rFonts w:hint="eastAsia" w:ascii="仿宋" w:hAnsi="仿宋" w:eastAsia="仿宋" w:cs="仿宋"/>
          <w:color w:val="333333"/>
          <w:kern w:val="0"/>
          <w:sz w:val="32"/>
          <w:szCs w:val="32"/>
          <w:lang w:bidi="ar"/>
        </w:rPr>
        <w:t>伊犁哈萨克自治州，各州、市、县（市、区）人民政府，各行政公署，自治区人民政府有关部门：</w:t>
      </w:r>
    </w:p>
    <w:p>
      <w:pPr>
        <w:widowControl/>
        <w:spacing w:beforeLines="0" w:afterLines="0" w:line="560" w:lineRule="atLeast"/>
        <w:ind w:firstLine="640"/>
        <w:jc w:val="left"/>
        <w:rPr>
          <w:rFonts w:hint="default"/>
          <w:sz w:val="21"/>
          <w:szCs w:val="24"/>
        </w:rPr>
      </w:pPr>
      <w:r>
        <w:rPr>
          <w:rFonts w:hint="eastAsia" w:ascii="仿宋" w:hAnsi="仿宋" w:eastAsia="仿宋" w:cs="仿宋"/>
          <w:color w:val="333333"/>
          <w:kern w:val="0"/>
          <w:sz w:val="32"/>
          <w:szCs w:val="32"/>
          <w:lang w:bidi="ar"/>
        </w:rPr>
        <w:t>《新疆维吾尔自治区矿产资源管理若干事项暂行办法》已经自治区人民政府同意，现予印发，请认真贯彻执行。</w:t>
      </w:r>
      <w:r>
        <w:rPr>
          <w:rFonts w:hint="eastAsia" w:ascii="仿宋" w:hAnsi="仿宋" w:eastAsia="仿宋" w:cs="仿宋"/>
          <w:color w:val="333333"/>
          <w:kern w:val="0"/>
          <w:sz w:val="44"/>
          <w:szCs w:val="44"/>
          <w:lang w:bidi="ar"/>
        </w:rPr>
        <w:t> </w:t>
      </w:r>
    </w:p>
    <w:p>
      <w:pPr>
        <w:widowControl/>
        <w:spacing w:beforeLines="0" w:afterLines="0" w:line="560" w:lineRule="atLeast"/>
        <w:jc w:val="left"/>
        <w:rPr>
          <w:rFonts w:hint="default"/>
          <w:sz w:val="21"/>
          <w:szCs w:val="24"/>
        </w:rPr>
      </w:pPr>
      <w:r>
        <w:rPr>
          <w:rFonts w:hint="eastAsia" w:ascii="仿宋" w:hAnsi="仿宋" w:eastAsia="仿宋" w:cs="仿宋"/>
          <w:color w:val="333333"/>
          <w:kern w:val="0"/>
          <w:sz w:val="44"/>
          <w:szCs w:val="44"/>
          <w:lang w:bidi="ar"/>
        </w:rPr>
        <w:t> </w:t>
      </w:r>
    </w:p>
    <w:p>
      <w:pPr>
        <w:widowControl/>
        <w:spacing w:beforeLines="0" w:afterLines="0" w:line="560" w:lineRule="atLeast"/>
        <w:jc w:val="right"/>
        <w:rPr>
          <w:rFonts w:hint="default"/>
          <w:sz w:val="21"/>
          <w:szCs w:val="24"/>
        </w:rPr>
      </w:pPr>
      <w:r>
        <w:rPr>
          <w:rFonts w:hint="eastAsia" w:ascii="仿宋" w:hAnsi="仿宋" w:eastAsia="仿宋" w:cs="仿宋"/>
          <w:color w:val="333333"/>
          <w:kern w:val="0"/>
          <w:sz w:val="44"/>
          <w:szCs w:val="44"/>
          <w:lang w:bidi="ar"/>
        </w:rPr>
        <w:t>                    </w:t>
      </w:r>
      <w:r>
        <w:rPr>
          <w:rFonts w:hint="eastAsia" w:ascii="仿宋" w:hAnsi="仿宋" w:eastAsia="仿宋" w:cs="仿宋"/>
          <w:color w:val="333333"/>
          <w:kern w:val="0"/>
          <w:sz w:val="32"/>
          <w:szCs w:val="32"/>
          <w:lang w:bidi="ar"/>
        </w:rPr>
        <w:t>                          自治区自然资源厅    </w:t>
      </w:r>
    </w:p>
    <w:p>
      <w:pPr>
        <w:widowControl/>
        <w:spacing w:beforeLines="0" w:afterLines="0" w:line="560" w:lineRule="atLeast"/>
        <w:jc w:val="right"/>
        <w:rPr>
          <w:rFonts w:hint="default"/>
          <w:sz w:val="21"/>
          <w:szCs w:val="24"/>
        </w:rPr>
      </w:pPr>
      <w:r>
        <w:rPr>
          <w:rFonts w:hint="eastAsia" w:ascii="仿宋" w:hAnsi="仿宋" w:eastAsia="仿宋" w:cs="仿宋"/>
          <w:color w:val="333333"/>
          <w:kern w:val="0"/>
          <w:sz w:val="32"/>
          <w:szCs w:val="32"/>
          <w:lang w:bidi="ar"/>
        </w:rPr>
        <w:t>                   2021年1月15日     </w:t>
      </w:r>
    </w:p>
    <w:p>
      <w:pPr>
        <w:widowControl/>
        <w:spacing w:beforeLines="0" w:afterLines="0" w:line="560" w:lineRule="atLeast"/>
        <w:jc w:val="center"/>
        <w:rPr>
          <w:rFonts w:hint="eastAsia" w:ascii="仿宋" w:hAnsi="仿宋" w:eastAsia="仿宋" w:cs="仿宋"/>
          <w:color w:val="333333"/>
          <w:kern w:val="0"/>
          <w:sz w:val="32"/>
          <w:szCs w:val="32"/>
          <w:lang w:bidi="ar"/>
        </w:rPr>
      </w:pPr>
    </w:p>
    <w:p>
      <w:pPr>
        <w:widowControl/>
        <w:spacing w:beforeLines="0" w:afterLines="0" w:line="560" w:lineRule="atLeast"/>
        <w:jc w:val="center"/>
        <w:rPr>
          <w:rFonts w:hint="eastAsia" w:ascii="仿宋" w:hAnsi="仿宋" w:eastAsia="仿宋" w:cs="仿宋"/>
          <w:color w:val="333333"/>
          <w:kern w:val="0"/>
          <w:sz w:val="32"/>
          <w:szCs w:val="32"/>
          <w:lang w:bidi="ar"/>
        </w:rPr>
      </w:pPr>
    </w:p>
    <w:p>
      <w:pPr>
        <w:widowControl/>
        <w:spacing w:beforeLines="0" w:afterLines="0" w:line="560" w:lineRule="atLeast"/>
        <w:jc w:val="center"/>
        <w:rPr>
          <w:rFonts w:hint="eastAsia" w:ascii="仿宋" w:hAnsi="仿宋" w:eastAsia="仿宋" w:cs="仿宋"/>
          <w:color w:val="333333"/>
          <w:kern w:val="0"/>
          <w:sz w:val="32"/>
          <w:szCs w:val="32"/>
          <w:lang w:bidi="ar"/>
        </w:rPr>
      </w:pPr>
    </w:p>
    <w:p>
      <w:pPr>
        <w:widowControl/>
        <w:spacing w:beforeLines="0" w:afterLines="0" w:line="560" w:lineRule="atLeast"/>
        <w:jc w:val="center"/>
        <w:rPr>
          <w:rFonts w:hint="eastAsia" w:ascii="仿宋" w:hAnsi="仿宋" w:eastAsia="仿宋" w:cs="仿宋"/>
          <w:color w:val="333333"/>
          <w:kern w:val="0"/>
          <w:sz w:val="32"/>
          <w:szCs w:val="32"/>
          <w:lang w:bidi="ar"/>
        </w:rPr>
      </w:pPr>
    </w:p>
    <w:p>
      <w:pPr>
        <w:widowControl/>
        <w:spacing w:beforeLines="0" w:afterLines="0" w:line="560" w:lineRule="atLeast"/>
        <w:jc w:val="center"/>
        <w:rPr>
          <w:rFonts w:hint="eastAsia" w:ascii="仿宋" w:hAnsi="仿宋" w:eastAsia="仿宋" w:cs="仿宋"/>
          <w:color w:val="333333"/>
          <w:kern w:val="0"/>
          <w:sz w:val="32"/>
          <w:szCs w:val="32"/>
          <w:lang w:bidi="ar"/>
        </w:rPr>
      </w:pPr>
    </w:p>
    <w:p>
      <w:pPr>
        <w:widowControl/>
        <w:spacing w:beforeLines="0" w:afterLines="0" w:line="560" w:lineRule="atLeast"/>
        <w:jc w:val="center"/>
        <w:rPr>
          <w:rFonts w:hint="default"/>
          <w:sz w:val="21"/>
          <w:szCs w:val="24"/>
        </w:rPr>
      </w:pPr>
      <w:r>
        <w:rPr>
          <w:rFonts w:hint="eastAsia" w:ascii="仿宋" w:hAnsi="仿宋" w:eastAsia="仿宋" w:cs="仿宋"/>
          <w:color w:val="333333"/>
          <w:kern w:val="0"/>
          <w:sz w:val="32"/>
          <w:szCs w:val="32"/>
          <w:lang w:bidi="ar"/>
        </w:rPr>
        <w:t> </w:t>
      </w:r>
    </w:p>
    <w:p>
      <w:pPr>
        <w:widowControl/>
        <w:spacing w:beforeLines="0" w:afterLines="0" w:line="560" w:lineRule="atLeast"/>
        <w:jc w:val="center"/>
        <w:rPr>
          <w:rFonts w:hint="default"/>
          <w:sz w:val="21"/>
          <w:szCs w:val="24"/>
        </w:rPr>
      </w:pPr>
    </w:p>
    <w:p>
      <w:pPr>
        <w:widowControl/>
        <w:spacing w:beforeLines="0" w:afterLines="0" w:line="560" w:lineRule="atLeast"/>
        <w:jc w:val="center"/>
        <w:rPr>
          <w:rFonts w:hint="default"/>
          <w:sz w:val="21"/>
          <w:szCs w:val="24"/>
        </w:rPr>
      </w:pPr>
      <w:r>
        <w:rPr>
          <w:rFonts w:hint="default" w:ascii="小标宋" w:hAnsi="小标宋" w:eastAsia="小标宋" w:cs="小标宋"/>
          <w:color w:val="333333"/>
          <w:kern w:val="0"/>
          <w:sz w:val="44"/>
          <w:szCs w:val="44"/>
          <w:lang w:bidi="ar"/>
        </w:rPr>
        <w:t>新疆维吾尔自治区矿产资源管理若干事项暂行办法</w:t>
      </w:r>
    </w:p>
    <w:p>
      <w:pPr>
        <w:widowControl/>
        <w:spacing w:beforeLines="0" w:afterLines="0" w:line="560" w:lineRule="atLeast"/>
        <w:jc w:val="left"/>
        <w:rPr>
          <w:rFonts w:hint="default"/>
          <w:sz w:val="21"/>
          <w:szCs w:val="24"/>
        </w:rPr>
      </w:pPr>
      <w:r>
        <w:rPr>
          <w:rFonts w:hint="default" w:ascii="Times New Roman" w:hAnsi="Times New Roman" w:eastAsia="微软雅黑"/>
          <w:color w:val="333333"/>
          <w:kern w:val="0"/>
          <w:sz w:val="32"/>
          <w:szCs w:val="32"/>
          <w:lang w:bidi="ar"/>
        </w:rPr>
        <w:t> </w:t>
      </w:r>
    </w:p>
    <w:p>
      <w:pPr>
        <w:pStyle w:val="3"/>
        <w:widowControl/>
        <w:spacing w:before="0" w:beforeLines="0" w:beforeAutospacing="0" w:after="0" w:afterLines="0" w:afterAutospacing="0" w:line="560" w:lineRule="atLeast"/>
        <w:ind w:left="1080" w:hanging="1080"/>
        <w:jc w:val="center"/>
        <w:rPr>
          <w:rFonts w:hint="default"/>
          <w:sz w:val="24"/>
          <w:szCs w:val="24"/>
        </w:rPr>
      </w:pPr>
      <w:r>
        <w:rPr>
          <w:rFonts w:hint="eastAsia" w:ascii="黑体" w:hAnsi="宋体" w:eastAsia="黑体" w:cs="黑体"/>
          <w:color w:val="333333"/>
          <w:sz w:val="32"/>
          <w:szCs w:val="32"/>
        </w:rPr>
        <w:t>第一章   总  则</w:t>
      </w:r>
    </w:p>
    <w:p>
      <w:pPr>
        <w:widowControl/>
        <w:spacing w:beforeLines="0" w:afterLines="0" w:line="560" w:lineRule="atLeast"/>
        <w:ind w:firstLine="640"/>
        <w:jc w:val="left"/>
        <w:rPr>
          <w:rFonts w:hint="default" w:ascii="仿宋" w:hAnsi="仿宋" w:eastAsia="仿宋" w:cs="仿宋"/>
          <w:color w:val="000000"/>
          <w:kern w:val="0"/>
          <w:sz w:val="32"/>
          <w:szCs w:val="32"/>
          <w:lang w:bidi="ar"/>
        </w:rPr>
      </w:pPr>
      <w:r>
        <w:rPr>
          <w:rFonts w:hint="eastAsia" w:ascii="黑体" w:hAnsi="宋体" w:eastAsia="黑体" w:cs="黑体"/>
          <w:color w:val="auto"/>
          <w:kern w:val="0"/>
          <w:sz w:val="32"/>
          <w:szCs w:val="32"/>
          <w:lang w:bidi="ar"/>
        </w:rPr>
        <w:t>第一条</w:t>
      </w:r>
      <w:r>
        <w:rPr>
          <w:rFonts w:hint="eastAsia" w:ascii="仿宋" w:hAnsi="仿宋" w:eastAsia="仿宋" w:cs="仿宋"/>
          <w:color w:val="auto"/>
          <w:kern w:val="0"/>
          <w:sz w:val="32"/>
          <w:szCs w:val="32"/>
          <w:lang w:bidi="ar"/>
        </w:rPr>
        <w:t>【</w:t>
      </w:r>
      <w:r>
        <w:rPr>
          <w:rFonts w:hint="eastAsia" w:ascii="仿宋" w:hAnsi="仿宋" w:eastAsia="仿宋" w:cs="仿宋"/>
          <w:b/>
          <w:color w:val="auto"/>
          <w:kern w:val="0"/>
          <w:sz w:val="32"/>
          <w:szCs w:val="32"/>
          <w:lang w:bidi="ar"/>
        </w:rPr>
        <w:t>目的依据</w:t>
      </w:r>
      <w:r>
        <w:rPr>
          <w:rFonts w:hint="eastAsia" w:ascii="仿宋" w:hAnsi="仿宋" w:eastAsia="仿宋" w:cs="仿宋"/>
          <w:color w:val="auto"/>
          <w:kern w:val="0"/>
          <w:sz w:val="32"/>
          <w:szCs w:val="32"/>
          <w:lang w:bidi="ar"/>
        </w:rPr>
        <w:t>】</w:t>
      </w:r>
      <w:r>
        <w:rPr>
          <w:rFonts w:hint="eastAsia" w:ascii="仿宋" w:hAnsi="仿宋" w:eastAsia="仿宋" w:cs="仿宋"/>
          <w:color w:val="000000"/>
          <w:kern w:val="0"/>
          <w:sz w:val="32"/>
          <w:szCs w:val="32"/>
          <w:lang w:bidi="ar"/>
        </w:rPr>
        <w:t>为贯彻落实中共中央、国务院关于矿产资源管理改革精神，提升行政效能，加快自治区矿产资源优势向经济优势转化，保障地质勘查和矿产开发高质量发展，根据国务院《矿产资源勘查区块登记管理办法》、《矿产资源开采登记管理办法》和《自然资源部关于推进矿产资源管理改革若干事项的意见（试行）》（自然资规〔2019〕7号）等法规政策，结合自治区实际，制定本办法。</w:t>
      </w:r>
    </w:p>
    <w:p>
      <w:pPr>
        <w:widowControl/>
        <w:spacing w:beforeLines="0" w:afterLines="0" w:line="560" w:lineRule="atLeast"/>
        <w:ind w:firstLine="640"/>
        <w:jc w:val="left"/>
        <w:rPr>
          <w:rFonts w:hint="default"/>
          <w:sz w:val="21"/>
          <w:szCs w:val="24"/>
        </w:rPr>
      </w:pPr>
      <w:r>
        <w:rPr>
          <w:rFonts w:hint="eastAsia" w:ascii="仿宋" w:hAnsi="仿宋" w:eastAsia="仿宋" w:cs="仿宋"/>
          <w:b/>
          <w:color w:val="auto"/>
          <w:kern w:val="0"/>
          <w:sz w:val="32"/>
          <w:szCs w:val="32"/>
          <w:lang w:bidi="ar"/>
        </w:rPr>
        <w:t>第二条【适用范围】</w:t>
      </w:r>
      <w:r>
        <w:rPr>
          <w:rFonts w:hint="eastAsia" w:ascii="仿宋" w:hAnsi="仿宋" w:eastAsia="仿宋" w:cs="仿宋"/>
          <w:color w:val="000000"/>
          <w:kern w:val="0"/>
          <w:sz w:val="32"/>
          <w:szCs w:val="32"/>
          <w:lang w:bidi="ar"/>
        </w:rPr>
        <w:t>在自治区行政区域内实施探矿权采矿权管理和矿产资源勘查开采适用本办法。</w:t>
      </w:r>
    </w:p>
    <w:p>
      <w:pPr>
        <w:widowControl/>
        <w:spacing w:beforeLines="0" w:afterLines="0" w:line="560" w:lineRule="atLeast"/>
        <w:ind w:firstLine="640"/>
        <w:jc w:val="left"/>
        <w:rPr>
          <w:rFonts w:hint="default" w:ascii="仿宋" w:hAnsi="仿宋" w:eastAsia="仿宋" w:cs="仿宋"/>
          <w:color w:val="000000"/>
          <w:kern w:val="0"/>
          <w:sz w:val="32"/>
          <w:szCs w:val="32"/>
          <w:lang w:bidi="ar"/>
        </w:rPr>
      </w:pPr>
      <w:r>
        <w:rPr>
          <w:rFonts w:hint="eastAsia" w:ascii="仿宋" w:hAnsi="仿宋" w:eastAsia="仿宋" w:cs="仿宋"/>
          <w:b/>
          <w:color w:val="auto"/>
          <w:kern w:val="0"/>
          <w:sz w:val="32"/>
          <w:szCs w:val="32"/>
          <w:lang w:bidi="ar"/>
        </w:rPr>
        <w:t>第三条【定义】</w:t>
      </w:r>
      <w:r>
        <w:rPr>
          <w:rFonts w:hint="eastAsia" w:ascii="仿宋" w:hAnsi="仿宋" w:eastAsia="仿宋" w:cs="仿宋"/>
          <w:color w:val="000000"/>
          <w:kern w:val="0"/>
          <w:sz w:val="32"/>
          <w:szCs w:val="32"/>
          <w:lang w:bidi="ar"/>
        </w:rPr>
        <w:t>探矿权、采矿权统称为矿业权。依法取得探矿权、采矿权的法人或其他经济组织称为探矿权人、采矿权人或矿业权人。</w:t>
      </w:r>
    </w:p>
    <w:p>
      <w:pPr>
        <w:widowControl/>
        <w:spacing w:beforeLines="0" w:afterLines="0" w:line="560" w:lineRule="atLeast"/>
        <w:jc w:val="center"/>
        <w:rPr>
          <w:rFonts w:hint="default"/>
          <w:sz w:val="21"/>
          <w:szCs w:val="24"/>
        </w:rPr>
      </w:pPr>
      <w:r>
        <w:rPr>
          <w:rFonts w:hint="default" w:ascii="Times New Roman" w:hAnsi="Times New Roman" w:eastAsia="微软雅黑"/>
          <w:color w:val="333333"/>
          <w:kern w:val="0"/>
          <w:sz w:val="32"/>
          <w:szCs w:val="32"/>
          <w:lang w:bidi="ar"/>
        </w:rPr>
        <w:t> </w:t>
      </w:r>
    </w:p>
    <w:p>
      <w:pPr>
        <w:widowControl/>
        <w:spacing w:beforeLines="0" w:afterLines="0" w:line="560" w:lineRule="atLeast"/>
        <w:jc w:val="center"/>
        <w:rPr>
          <w:rFonts w:hint="default"/>
          <w:sz w:val="21"/>
          <w:szCs w:val="24"/>
        </w:rPr>
      </w:pPr>
      <w:r>
        <w:rPr>
          <w:rFonts w:hint="eastAsia" w:ascii="黑体" w:hAnsi="宋体" w:eastAsia="黑体" w:cs="黑体"/>
          <w:color w:val="333333"/>
          <w:kern w:val="0"/>
          <w:sz w:val="32"/>
          <w:szCs w:val="32"/>
          <w:lang w:bidi="ar"/>
        </w:rPr>
        <w:t>第二章  矿业权出让登记管理权限</w:t>
      </w:r>
    </w:p>
    <w:p>
      <w:pPr>
        <w:widowControl/>
        <w:spacing w:beforeLines="0" w:afterLines="0" w:line="560" w:lineRule="atLeast"/>
        <w:ind w:firstLine="640"/>
        <w:jc w:val="left"/>
        <w:rPr>
          <w:rFonts w:hint="default" w:ascii="仿宋" w:hAnsi="仿宋" w:eastAsia="仿宋" w:cs="仿宋"/>
          <w:color w:val="000000"/>
          <w:kern w:val="0"/>
          <w:sz w:val="32"/>
          <w:szCs w:val="32"/>
          <w:lang w:bidi="ar"/>
        </w:rPr>
      </w:pPr>
      <w:r>
        <w:rPr>
          <w:rFonts w:hint="eastAsia" w:ascii="仿宋" w:hAnsi="仿宋" w:eastAsia="仿宋" w:cs="仿宋"/>
          <w:b/>
          <w:color w:val="auto"/>
          <w:kern w:val="0"/>
          <w:sz w:val="32"/>
          <w:szCs w:val="32"/>
          <w:lang w:bidi="ar"/>
        </w:rPr>
        <w:t>第四条【出让登记权限】</w:t>
      </w:r>
      <w:r>
        <w:rPr>
          <w:rFonts w:hint="eastAsia" w:ascii="仿宋" w:hAnsi="仿宋" w:eastAsia="仿宋" w:cs="仿宋"/>
          <w:color w:val="000000"/>
          <w:kern w:val="0"/>
          <w:sz w:val="32"/>
          <w:szCs w:val="32"/>
          <w:lang w:bidi="ar"/>
        </w:rPr>
        <w:t>实行同一矿种矿业权出让、登记同级管理，按照矿种划分矿业权出让、登记权限。</w:t>
      </w:r>
    </w:p>
    <w:p>
      <w:pPr>
        <w:widowControl/>
        <w:spacing w:beforeLines="0" w:afterLines="0" w:line="560" w:lineRule="atLeast"/>
        <w:ind w:firstLine="640"/>
        <w:jc w:val="left"/>
        <w:rPr>
          <w:rFonts w:hint="default"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自治区负责煤、煤层气等能源矿产，铁、铜等金属矿产，石棉、蛭石等非金属矿产，矿泉水、二氧化碳气等水气矿产矿业权出让、登记；地（州、市）负责石灰岩、花岗岩等非金属矿产矿业权出让、登记；县（市）负责砖瓦用粘土、建筑用砂（河道管理范围外）采矿权出让、登记（具体矿产种类出让、登记权限见附件），河道管理范围内砂石土开采管理适用河道管理相关规定。</w:t>
      </w:r>
    </w:p>
    <w:p>
      <w:pPr>
        <w:widowControl/>
        <w:spacing w:beforeLines="0" w:afterLines="0" w:line="560" w:lineRule="atLeast"/>
        <w:ind w:firstLine="640"/>
        <w:jc w:val="left"/>
        <w:rPr>
          <w:rFonts w:hint="default"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变更或增加（增列）矿种按照主矿种权限管理。跨行政区域的矿业权，由其上一级自然资源主管部门明确管理权限。在本办法执行前已有矿业权延续、变更、注销登记，按照本办法明确的权限移交。</w:t>
      </w:r>
    </w:p>
    <w:p>
      <w:pPr>
        <w:widowControl/>
        <w:spacing w:beforeLines="0" w:afterLines="0" w:line="560" w:lineRule="atLeast"/>
        <w:ind w:firstLine="640"/>
        <w:jc w:val="left"/>
        <w:rPr>
          <w:rFonts w:hint="default" w:ascii="仿宋" w:hAnsi="仿宋" w:eastAsia="仿宋" w:cs="仿宋"/>
          <w:color w:val="000000"/>
          <w:kern w:val="0"/>
          <w:sz w:val="32"/>
          <w:szCs w:val="32"/>
          <w:lang w:bidi="ar"/>
        </w:rPr>
      </w:pPr>
      <w:r>
        <w:rPr>
          <w:rFonts w:hint="eastAsia" w:ascii="仿宋" w:hAnsi="仿宋" w:eastAsia="仿宋" w:cs="仿宋"/>
          <w:b/>
          <w:color w:val="auto"/>
          <w:kern w:val="0"/>
          <w:sz w:val="32"/>
          <w:szCs w:val="32"/>
          <w:lang w:bidi="ar"/>
        </w:rPr>
        <w:t>第五条【事项管理权限】</w:t>
      </w:r>
      <w:r>
        <w:rPr>
          <w:rFonts w:hint="eastAsia" w:ascii="仿宋" w:hAnsi="仿宋" w:eastAsia="仿宋" w:cs="仿宋"/>
          <w:color w:val="000000"/>
          <w:kern w:val="0"/>
          <w:sz w:val="32"/>
          <w:szCs w:val="32"/>
          <w:lang w:bidi="ar"/>
        </w:rPr>
        <w:t>矿山开发利用方案、矿山地质环境保护与土地复垦方案评审，矿产资源储量评审备案、矿业权出让收益市场基准价（率）编制发布及矿业权出让收益、占用费（使用费）收缴等工作，按照矿业权出让、登记权限，由登记的自然资源主管部门负责，相关费用纳入本级财政预算。</w:t>
      </w:r>
    </w:p>
    <w:p>
      <w:pPr>
        <w:widowControl/>
        <w:spacing w:beforeLines="0" w:afterLines="0" w:line="560" w:lineRule="atLeast"/>
        <w:ind w:firstLine="640"/>
        <w:jc w:val="left"/>
        <w:rPr>
          <w:rFonts w:hint="default" w:ascii="仿宋" w:hAnsi="仿宋" w:eastAsia="仿宋" w:cs="仿宋"/>
          <w:color w:val="000000"/>
          <w:kern w:val="0"/>
          <w:sz w:val="32"/>
          <w:szCs w:val="32"/>
          <w:lang w:bidi="ar"/>
        </w:rPr>
      </w:pPr>
      <w:r>
        <w:rPr>
          <w:rFonts w:hint="eastAsia" w:ascii="仿宋" w:hAnsi="仿宋" w:eastAsia="仿宋" w:cs="仿宋"/>
          <w:b/>
          <w:color w:val="auto"/>
          <w:kern w:val="0"/>
          <w:sz w:val="32"/>
          <w:szCs w:val="32"/>
          <w:lang w:bidi="ar"/>
        </w:rPr>
        <w:t>第六条【出让矿业权审查审批】</w:t>
      </w:r>
      <w:r>
        <w:rPr>
          <w:rFonts w:hint="eastAsia" w:ascii="仿宋" w:hAnsi="仿宋" w:eastAsia="仿宋" w:cs="仿宋"/>
          <w:color w:val="000000"/>
          <w:kern w:val="0"/>
          <w:sz w:val="32"/>
          <w:szCs w:val="32"/>
          <w:lang w:bidi="ar"/>
        </w:rPr>
        <w:t>自然资源主管部门按照矿业权出让、登记权限建立年度出让项目库。出让矿业权，应当征求同级发改、工信、生态环境、应急、林草、水利、交通等主管部门合规性意见后，报本级人民政府审批。</w:t>
      </w:r>
    </w:p>
    <w:p>
      <w:pPr>
        <w:widowControl/>
        <w:spacing w:beforeLines="0" w:afterLines="0" w:line="560" w:lineRule="atLeast"/>
        <w:ind w:firstLine="640"/>
        <w:jc w:val="left"/>
        <w:rPr>
          <w:rFonts w:hint="default"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除国家、自治区矿产资源管理法定规定外，各地（州、市）、县（市）人民政府不得在矿业权出让、登记中“搭车”收费或设置前置条件。</w:t>
      </w:r>
    </w:p>
    <w:p>
      <w:pPr>
        <w:widowControl/>
        <w:spacing w:beforeLines="0" w:afterLines="0" w:line="560" w:lineRule="atLeast"/>
        <w:ind w:firstLine="640"/>
        <w:jc w:val="left"/>
        <w:rPr>
          <w:rFonts w:hint="default" w:ascii="仿宋" w:hAnsi="仿宋" w:eastAsia="仿宋" w:cs="仿宋"/>
          <w:color w:val="000000"/>
          <w:kern w:val="0"/>
          <w:sz w:val="32"/>
          <w:szCs w:val="32"/>
          <w:lang w:bidi="ar"/>
        </w:rPr>
      </w:pPr>
      <w:r>
        <w:rPr>
          <w:rFonts w:hint="eastAsia" w:ascii="仿宋" w:hAnsi="仿宋" w:eastAsia="仿宋" w:cs="仿宋"/>
          <w:b/>
          <w:color w:val="auto"/>
          <w:kern w:val="0"/>
          <w:sz w:val="32"/>
          <w:szCs w:val="32"/>
          <w:lang w:bidi="ar"/>
        </w:rPr>
        <w:t>第七条【矿业权实地核查责任】</w:t>
      </w:r>
      <w:r>
        <w:rPr>
          <w:rFonts w:hint="eastAsia" w:ascii="仿宋" w:hAnsi="仿宋" w:eastAsia="仿宋" w:cs="仿宋"/>
          <w:color w:val="000000"/>
          <w:kern w:val="0"/>
          <w:sz w:val="32"/>
          <w:szCs w:val="32"/>
          <w:lang w:bidi="ar"/>
        </w:rPr>
        <w:t>矿业权实地查验核查按照矿业权出让、登记权限组织实施。出让、登记矿业权前应当进行实地核查，县级以上自然资源主管部门应当按照要求向上一级自然资源主管部门出具矿业权实地核查意见。</w:t>
      </w:r>
    </w:p>
    <w:p>
      <w:pPr>
        <w:widowControl/>
        <w:spacing w:beforeLines="0" w:afterLines="0" w:line="560" w:lineRule="atLeast"/>
        <w:ind w:firstLine="640"/>
        <w:jc w:val="left"/>
        <w:rPr>
          <w:rFonts w:hint="default"/>
          <w:sz w:val="21"/>
          <w:szCs w:val="24"/>
        </w:rPr>
      </w:pPr>
      <w:r>
        <w:rPr>
          <w:rFonts w:hint="default" w:ascii="Times New Roman" w:hAnsi="Times New Roman" w:eastAsia="微软雅黑"/>
          <w:color w:val="333333"/>
          <w:kern w:val="0"/>
          <w:sz w:val="32"/>
          <w:szCs w:val="32"/>
          <w:lang w:bidi="ar"/>
        </w:rPr>
        <w:t> </w:t>
      </w:r>
    </w:p>
    <w:p>
      <w:pPr>
        <w:widowControl/>
        <w:spacing w:beforeLines="0" w:afterLines="0" w:line="560" w:lineRule="atLeast"/>
        <w:jc w:val="center"/>
        <w:rPr>
          <w:rFonts w:hint="default"/>
          <w:sz w:val="21"/>
          <w:szCs w:val="24"/>
        </w:rPr>
      </w:pPr>
      <w:r>
        <w:rPr>
          <w:rFonts w:hint="eastAsia" w:ascii="黑体" w:hAnsi="宋体" w:eastAsia="黑体" w:cs="黑体"/>
          <w:color w:val="333333"/>
          <w:kern w:val="0"/>
          <w:sz w:val="32"/>
          <w:szCs w:val="32"/>
          <w:lang w:bidi="ar"/>
        </w:rPr>
        <w:t>第三章  矿业权市场化配置</w:t>
      </w:r>
    </w:p>
    <w:p>
      <w:pPr>
        <w:widowControl/>
        <w:spacing w:beforeLines="0" w:afterLines="0" w:line="560" w:lineRule="atLeast"/>
        <w:ind w:firstLine="640"/>
        <w:jc w:val="left"/>
        <w:rPr>
          <w:rFonts w:hint="default" w:ascii="仿宋" w:hAnsi="仿宋" w:eastAsia="仿宋" w:cs="仿宋"/>
          <w:color w:val="000000"/>
          <w:kern w:val="0"/>
          <w:sz w:val="32"/>
          <w:szCs w:val="32"/>
          <w:lang w:bidi="ar"/>
        </w:rPr>
      </w:pPr>
      <w:r>
        <w:rPr>
          <w:rFonts w:hint="eastAsia" w:ascii="仿宋" w:hAnsi="仿宋" w:eastAsia="仿宋" w:cs="仿宋"/>
          <w:b/>
          <w:color w:val="auto"/>
          <w:kern w:val="0"/>
          <w:sz w:val="32"/>
          <w:szCs w:val="32"/>
          <w:lang w:bidi="ar"/>
        </w:rPr>
        <w:t>第八条【竞争性出让】</w:t>
      </w:r>
      <w:r>
        <w:rPr>
          <w:rFonts w:hint="eastAsia" w:ascii="仿宋" w:hAnsi="仿宋" w:eastAsia="仿宋" w:cs="仿宋"/>
          <w:color w:val="000000"/>
          <w:kern w:val="0"/>
          <w:sz w:val="32"/>
          <w:szCs w:val="32"/>
          <w:lang w:bidi="ar"/>
        </w:rPr>
        <w:t>全面实行矿业权竞争性出让。除国家规定可以协议方式出让情形外，其他矿业权一律采取招标、拍卖、挂牌方式公开竞争性出让。</w:t>
      </w:r>
    </w:p>
    <w:p>
      <w:pPr>
        <w:widowControl/>
        <w:spacing w:beforeLines="0" w:afterLines="0" w:line="560" w:lineRule="atLeast"/>
        <w:ind w:firstLine="640"/>
        <w:jc w:val="left"/>
        <w:rPr>
          <w:rFonts w:hint="default"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矿业权出让前，应当在自然资源部、矿业权出让登记权限同级自然资源主管部门门户网站（或政府门户网站）和政府公共资源交易平台发布公告，公告不少于20个工作日。</w:t>
      </w:r>
    </w:p>
    <w:p>
      <w:pPr>
        <w:widowControl/>
        <w:spacing w:beforeLines="0" w:afterLines="0" w:line="560" w:lineRule="atLeast"/>
        <w:ind w:firstLine="640"/>
        <w:jc w:val="left"/>
        <w:rPr>
          <w:rFonts w:hint="default" w:ascii="仿宋" w:hAnsi="仿宋" w:eastAsia="仿宋" w:cs="仿宋"/>
          <w:color w:val="000000"/>
          <w:kern w:val="0"/>
          <w:sz w:val="32"/>
          <w:szCs w:val="32"/>
          <w:lang w:bidi="ar"/>
        </w:rPr>
      </w:pPr>
      <w:r>
        <w:rPr>
          <w:rFonts w:hint="eastAsia" w:ascii="仿宋" w:hAnsi="仿宋" w:eastAsia="仿宋" w:cs="仿宋"/>
          <w:b/>
          <w:color w:val="auto"/>
          <w:kern w:val="0"/>
          <w:sz w:val="32"/>
          <w:szCs w:val="32"/>
          <w:lang w:bidi="ar"/>
        </w:rPr>
        <w:t>第九条【协议出让】</w:t>
      </w:r>
      <w:r>
        <w:rPr>
          <w:rFonts w:hint="eastAsia" w:ascii="仿宋" w:hAnsi="仿宋" w:eastAsia="仿宋" w:cs="仿宋"/>
          <w:color w:val="000000"/>
          <w:kern w:val="0"/>
          <w:sz w:val="32"/>
          <w:szCs w:val="32"/>
          <w:lang w:bidi="ar"/>
        </w:rPr>
        <w:t>严格控制矿业权协议出让。稀土、放射性矿产勘查开采项目，或国务院批准的重点建设项目（包括国务院或国家发展和改革委员会批准的国家重点矿产资源勘查开采项目、国务院明确要求予以矿产资源保障的重点项目），可以协议方式向特定主体出让矿业权；已设采矿权深部或上部的同类矿产（《矿产资源分类细目》类别中普通建筑、砖瓦用砂石土类矿产除外），需要利用原有生产系统进一步勘查开采的，可以协议方式向同一主体出让。</w:t>
      </w:r>
    </w:p>
    <w:p>
      <w:pPr>
        <w:widowControl/>
        <w:spacing w:beforeLines="0" w:afterLines="0" w:line="560" w:lineRule="atLeast"/>
        <w:ind w:firstLine="640"/>
        <w:jc w:val="left"/>
        <w:rPr>
          <w:rFonts w:hint="default"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以协议方式出让矿业权的，应当进行矿业权出让收益评估、按规定公示评估结果，根据评估和市场基准价就高确定矿业权出让收益。</w:t>
      </w:r>
    </w:p>
    <w:p>
      <w:pPr>
        <w:widowControl/>
        <w:spacing w:beforeLines="0" w:afterLines="0" w:line="560" w:lineRule="atLeast"/>
        <w:ind w:firstLine="640"/>
        <w:jc w:val="left"/>
        <w:rPr>
          <w:rFonts w:hint="default" w:ascii="仿宋" w:hAnsi="仿宋" w:eastAsia="仿宋" w:cs="仿宋"/>
          <w:color w:val="000000"/>
          <w:kern w:val="0"/>
          <w:sz w:val="32"/>
          <w:szCs w:val="32"/>
          <w:lang w:bidi="ar"/>
        </w:rPr>
      </w:pPr>
      <w:r>
        <w:rPr>
          <w:rFonts w:hint="eastAsia" w:ascii="仿宋" w:hAnsi="仿宋" w:eastAsia="仿宋" w:cs="仿宋"/>
          <w:b/>
          <w:color w:val="auto"/>
          <w:kern w:val="0"/>
          <w:sz w:val="32"/>
          <w:szCs w:val="32"/>
          <w:lang w:bidi="ar"/>
        </w:rPr>
        <w:t>第十条【综合利用及砂石土矿差别化管理】</w:t>
      </w:r>
      <w:r>
        <w:rPr>
          <w:rFonts w:hint="eastAsia" w:ascii="仿宋" w:hAnsi="仿宋" w:eastAsia="仿宋" w:cs="仿宋"/>
          <w:color w:val="000000"/>
          <w:kern w:val="0"/>
          <w:sz w:val="32"/>
          <w:szCs w:val="32"/>
          <w:lang w:bidi="ar"/>
        </w:rPr>
        <w:t>采矿权人在批准的矿区范围和采矿许可证有效期内回收利用采矿废石，无需另行办理采矿登记。采矿权已经灭失，对其形成的采矿废石进行利用，应当按规定办理采矿登记。</w:t>
      </w:r>
    </w:p>
    <w:p>
      <w:pPr>
        <w:widowControl/>
        <w:spacing w:beforeLines="0" w:afterLines="0" w:line="560" w:lineRule="atLeast"/>
        <w:ind w:firstLine="640"/>
        <w:jc w:val="left"/>
        <w:rPr>
          <w:rFonts w:hint="default"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县级以上人民政府批准的公益性、基础性工程建设项目，在批准的范围和建设工期内用于本项目的砂石土矿，无需办理采矿登记。项目完成后确有剩余的，由项目所在地县级以上人民政府通过公共资源交易平台对外销售，销售收益纳入财政统一管理。</w:t>
      </w:r>
    </w:p>
    <w:p>
      <w:pPr>
        <w:widowControl/>
        <w:spacing w:beforeLines="0" w:afterLines="0" w:line="560" w:lineRule="atLeast"/>
        <w:ind w:firstLine="640"/>
        <w:jc w:val="left"/>
        <w:rPr>
          <w:rFonts w:hint="default" w:ascii="仿宋" w:hAnsi="仿宋" w:eastAsia="仿宋" w:cs="仿宋"/>
          <w:color w:val="000000"/>
          <w:kern w:val="0"/>
          <w:sz w:val="32"/>
          <w:szCs w:val="32"/>
          <w:lang w:bidi="ar"/>
        </w:rPr>
      </w:pPr>
      <w:r>
        <w:rPr>
          <w:rFonts w:hint="eastAsia" w:ascii="仿宋" w:hAnsi="仿宋" w:eastAsia="仿宋" w:cs="仿宋"/>
          <w:b/>
          <w:color w:val="auto"/>
          <w:kern w:val="0"/>
          <w:sz w:val="32"/>
          <w:szCs w:val="32"/>
          <w:lang w:bidi="ar"/>
        </w:rPr>
        <w:t>第十一条【矿业权人条件】</w:t>
      </w:r>
      <w:r>
        <w:rPr>
          <w:rFonts w:hint="eastAsia" w:ascii="仿宋" w:hAnsi="仿宋" w:eastAsia="仿宋" w:cs="仿宋"/>
          <w:color w:val="000000"/>
          <w:kern w:val="0"/>
          <w:sz w:val="32"/>
          <w:szCs w:val="32"/>
          <w:lang w:bidi="ar"/>
        </w:rPr>
        <w:t>探矿权申请人原则上应当为营利法人或非营利法人中的事业单位法人，采矿权申请人原则上应当为营利法人。其中，油气矿业权申请人，需在中华人民共和国境内注册，且净资产不低于3亿元人民币（煤炭矿业权增列煤层气的，不受净资产不低于3亿元人民币的限制）。</w:t>
      </w:r>
    </w:p>
    <w:p>
      <w:pPr>
        <w:widowControl/>
        <w:spacing w:beforeLines="0" w:afterLines="0" w:line="560" w:lineRule="atLeast"/>
        <w:ind w:firstLine="627"/>
        <w:jc w:val="left"/>
        <w:rPr>
          <w:rFonts w:hint="default" w:ascii="仿宋" w:hAnsi="仿宋" w:eastAsia="仿宋" w:cs="仿宋"/>
          <w:color w:val="000000"/>
          <w:kern w:val="0"/>
          <w:sz w:val="32"/>
          <w:szCs w:val="32"/>
          <w:lang w:bidi="ar"/>
        </w:rPr>
      </w:pPr>
      <w:r>
        <w:rPr>
          <w:rFonts w:hint="eastAsia" w:ascii="仿宋" w:hAnsi="仿宋" w:eastAsia="仿宋" w:cs="仿宋"/>
          <w:b/>
          <w:color w:val="auto"/>
          <w:kern w:val="0"/>
          <w:sz w:val="32"/>
          <w:szCs w:val="32"/>
          <w:lang w:bidi="ar"/>
        </w:rPr>
        <w:t>第十二条【“净矿”出让】</w:t>
      </w:r>
      <w:r>
        <w:rPr>
          <w:rFonts w:hint="eastAsia" w:ascii="仿宋" w:hAnsi="仿宋" w:eastAsia="仿宋" w:cs="仿宋"/>
          <w:color w:val="000000"/>
          <w:kern w:val="0"/>
          <w:sz w:val="32"/>
          <w:szCs w:val="32"/>
          <w:lang w:bidi="ar"/>
        </w:rPr>
        <w:t>实行“政府组织、部门配合、社会监督”的“净矿”出让工作机制。批准出让矿业权的人民政府在批准出让前应当组织做好矿产资源勘查开采合规性审查，相关部门依照本部门职责做好与用地、用林、用草、用水、环境保护、安全生产等事项衔接，优化工作流程，提高服务效率，自觉接受社会监督，以便矿业权出让后，矿业权人顺利办理相关手续，正常开展勘查开采工作。</w:t>
      </w:r>
    </w:p>
    <w:p>
      <w:pPr>
        <w:widowControl/>
        <w:spacing w:beforeLines="0" w:afterLines="0" w:line="560" w:lineRule="atLeast"/>
        <w:ind w:firstLine="627"/>
        <w:jc w:val="left"/>
        <w:rPr>
          <w:rFonts w:hint="default"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砂石土矿采矿权一律实行“净矿”出让，推进其他矿种矿业权“净矿”出让。</w:t>
      </w:r>
    </w:p>
    <w:p>
      <w:pPr>
        <w:widowControl/>
        <w:spacing w:beforeLines="0" w:afterLines="0" w:line="560" w:lineRule="atLeast"/>
        <w:ind w:firstLine="627"/>
        <w:jc w:val="left"/>
        <w:rPr>
          <w:rFonts w:hint="default" w:ascii="仿宋" w:hAnsi="仿宋" w:eastAsia="仿宋" w:cs="仿宋"/>
          <w:color w:val="000000"/>
          <w:kern w:val="0"/>
          <w:sz w:val="32"/>
          <w:szCs w:val="32"/>
          <w:lang w:bidi="ar"/>
        </w:rPr>
      </w:pPr>
      <w:r>
        <w:rPr>
          <w:rFonts w:hint="eastAsia" w:ascii="仿宋" w:hAnsi="仿宋" w:eastAsia="仿宋" w:cs="仿宋"/>
          <w:b/>
          <w:color w:val="auto"/>
          <w:kern w:val="0"/>
          <w:sz w:val="32"/>
          <w:szCs w:val="32"/>
          <w:lang w:bidi="ar"/>
        </w:rPr>
        <w:t>第十三条【出让矿业权纠错】</w:t>
      </w:r>
      <w:r>
        <w:rPr>
          <w:rFonts w:hint="eastAsia" w:ascii="仿宋" w:hAnsi="仿宋" w:eastAsia="仿宋" w:cs="仿宋"/>
          <w:color w:val="000000"/>
          <w:kern w:val="0"/>
          <w:sz w:val="32"/>
          <w:szCs w:val="32"/>
          <w:lang w:bidi="ar"/>
        </w:rPr>
        <w:t>由于不可抗力、产业政策限制或矿业权出让前期工作原因导致矿业权人无法勘查或开采的，自然资源主管部门应当依据矿业权人申请，实地核实情况，公示核实结果。经公示无异议的，报本级人民政府批准，可以协商撤回或局部调整已出让的矿业权范围，按照有关规定退还或补缴矿业权出让收益。</w:t>
      </w:r>
    </w:p>
    <w:p>
      <w:pPr>
        <w:widowControl/>
        <w:spacing w:beforeLines="0" w:afterLines="0" w:line="560" w:lineRule="atLeast"/>
        <w:jc w:val="center"/>
        <w:rPr>
          <w:rFonts w:hint="default"/>
          <w:sz w:val="21"/>
          <w:szCs w:val="24"/>
        </w:rPr>
      </w:pPr>
      <w:r>
        <w:rPr>
          <w:rFonts w:hint="eastAsia" w:ascii="黑体" w:hAnsi="宋体" w:eastAsia="黑体" w:cs="黑体"/>
          <w:color w:val="333333"/>
          <w:kern w:val="0"/>
          <w:sz w:val="32"/>
          <w:szCs w:val="32"/>
          <w:lang w:bidi="ar"/>
        </w:rPr>
        <w:t>第四章  矿业权出让登记管理</w:t>
      </w:r>
    </w:p>
    <w:p>
      <w:pPr>
        <w:widowControl/>
        <w:spacing w:beforeLines="0" w:afterLines="0" w:line="560" w:lineRule="atLeast"/>
        <w:ind w:firstLine="627"/>
        <w:jc w:val="left"/>
        <w:rPr>
          <w:rFonts w:hint="default" w:ascii="仿宋" w:hAnsi="仿宋" w:eastAsia="仿宋" w:cs="仿宋"/>
          <w:color w:val="000000"/>
          <w:kern w:val="0"/>
          <w:sz w:val="32"/>
          <w:szCs w:val="32"/>
          <w:lang w:bidi="ar"/>
        </w:rPr>
      </w:pPr>
      <w:r>
        <w:rPr>
          <w:rFonts w:hint="eastAsia" w:ascii="仿宋" w:hAnsi="仿宋" w:eastAsia="仿宋" w:cs="仿宋"/>
          <w:b/>
          <w:color w:val="auto"/>
          <w:kern w:val="0"/>
          <w:sz w:val="32"/>
          <w:szCs w:val="32"/>
          <w:lang w:bidi="ar"/>
        </w:rPr>
        <w:t>第十四条【探矿权登记期限】</w:t>
      </w:r>
      <w:r>
        <w:rPr>
          <w:rFonts w:hint="eastAsia" w:ascii="仿宋" w:hAnsi="仿宋" w:eastAsia="仿宋" w:cs="仿宋"/>
          <w:color w:val="000000"/>
          <w:kern w:val="0"/>
          <w:sz w:val="32"/>
          <w:szCs w:val="32"/>
          <w:lang w:bidi="ar"/>
        </w:rPr>
        <w:t>以出让方式设立的探矿权首次登记期限最长为5年，每次延续登记期限最长为5年。</w:t>
      </w:r>
    </w:p>
    <w:p>
      <w:pPr>
        <w:widowControl/>
        <w:spacing w:beforeLines="0" w:afterLines="0" w:line="560" w:lineRule="atLeast"/>
        <w:ind w:firstLine="627"/>
        <w:jc w:val="left"/>
        <w:rPr>
          <w:rFonts w:hint="default"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申请探矿权延续应当扣减首次设立探矿权的勘查许可证证载面积25%，非油气矿产已提交资源量或油气矿产探明地质储量的范围及已设采矿权矿区范围垂直投影的上部或深部勘查除外。</w:t>
      </w:r>
    </w:p>
    <w:p>
      <w:pPr>
        <w:widowControl/>
        <w:spacing w:beforeLines="0" w:afterLines="0" w:line="560" w:lineRule="atLeast"/>
        <w:ind w:firstLine="627"/>
        <w:jc w:val="left"/>
        <w:rPr>
          <w:rFonts w:hint="default"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2020年5月1日前已有探矿权到期延续时，应当签订出让合同，延续前的勘查许可证证载面积视为首次设立面积，并按照上述规定执行延续。</w:t>
      </w:r>
    </w:p>
    <w:p>
      <w:pPr>
        <w:widowControl/>
        <w:spacing w:beforeLines="0" w:afterLines="0" w:line="560" w:lineRule="atLeast"/>
        <w:ind w:firstLine="627"/>
        <w:jc w:val="left"/>
        <w:rPr>
          <w:rFonts w:hint="default" w:ascii="仿宋" w:hAnsi="仿宋" w:eastAsia="仿宋" w:cs="仿宋"/>
          <w:color w:val="000000"/>
          <w:kern w:val="0"/>
          <w:sz w:val="32"/>
          <w:szCs w:val="32"/>
          <w:lang w:bidi="ar"/>
        </w:rPr>
      </w:pPr>
      <w:r>
        <w:rPr>
          <w:rFonts w:hint="eastAsia" w:ascii="仿宋" w:hAnsi="仿宋" w:eastAsia="仿宋" w:cs="仿宋"/>
          <w:b/>
          <w:color w:val="auto"/>
          <w:kern w:val="0"/>
          <w:sz w:val="32"/>
          <w:szCs w:val="32"/>
          <w:lang w:bidi="ar"/>
        </w:rPr>
        <w:t>第十五条【煤层气探采合一制度】</w:t>
      </w:r>
      <w:r>
        <w:rPr>
          <w:rFonts w:hint="eastAsia" w:ascii="仿宋" w:hAnsi="仿宋" w:eastAsia="仿宋" w:cs="仿宋"/>
          <w:color w:val="000000"/>
          <w:kern w:val="0"/>
          <w:sz w:val="32"/>
          <w:szCs w:val="32"/>
          <w:lang w:bidi="ar"/>
        </w:rPr>
        <w:t>油气实行探采合一制度。煤层气探矿权人发现可供开采的煤层气资源，按照规定报告自治区自然资源主管部门并依法办理项目备案、用地、环境影响评价、安全生产许可等相关事项后即可进行开采，但应当在报告之日起5年内</w:t>
      </w:r>
      <w:r>
        <w:rPr>
          <w:rFonts w:hint="eastAsia" w:ascii="仿宋" w:hAnsi="仿宋" w:eastAsia="仿宋" w:cs="仿宋"/>
          <w:color w:val="000000"/>
          <w:kern w:val="0"/>
          <w:sz w:val="32"/>
          <w:szCs w:val="32"/>
          <w:lang w:bidi="ar"/>
        </w:rPr>
        <w:t>签订采矿权出让合同，依法办理采矿</w:t>
      </w:r>
      <w:r>
        <w:rPr>
          <w:rFonts w:hint="eastAsia" w:ascii="仿宋" w:hAnsi="仿宋" w:eastAsia="仿宋" w:cs="仿宋"/>
          <w:color w:val="000000"/>
          <w:kern w:val="0"/>
          <w:sz w:val="32"/>
          <w:szCs w:val="32"/>
          <w:lang w:bidi="ar"/>
        </w:rPr>
        <w:t>登记。</w:t>
      </w:r>
    </w:p>
    <w:p>
      <w:pPr>
        <w:widowControl/>
        <w:spacing w:beforeLines="0" w:afterLines="0" w:line="560" w:lineRule="atLeast"/>
        <w:ind w:firstLine="640"/>
        <w:jc w:val="left"/>
        <w:rPr>
          <w:rFonts w:hint="default" w:ascii="仿宋" w:hAnsi="仿宋" w:eastAsia="仿宋" w:cs="仿宋"/>
          <w:color w:val="000000"/>
          <w:kern w:val="0"/>
          <w:sz w:val="32"/>
          <w:szCs w:val="32"/>
          <w:lang w:bidi="ar"/>
        </w:rPr>
      </w:pPr>
      <w:r>
        <w:rPr>
          <w:rFonts w:hint="eastAsia" w:ascii="仿宋" w:hAnsi="仿宋" w:eastAsia="仿宋" w:cs="仿宋"/>
          <w:b/>
          <w:color w:val="auto"/>
          <w:kern w:val="0"/>
          <w:sz w:val="32"/>
          <w:szCs w:val="32"/>
          <w:lang w:bidi="ar"/>
        </w:rPr>
        <w:t>第十六条【矿业权保留、变更、分立及注销】</w:t>
      </w:r>
      <w:r>
        <w:rPr>
          <w:rFonts w:hint="eastAsia" w:ascii="仿宋" w:hAnsi="仿宋" w:eastAsia="仿宋" w:cs="仿宋"/>
          <w:color w:val="000000"/>
          <w:kern w:val="0"/>
          <w:sz w:val="32"/>
          <w:szCs w:val="32"/>
          <w:lang w:bidi="ar"/>
        </w:rPr>
        <w:t>已登记保留的探矿权，如不能满足转采矿权相关要求的，可申请探矿权延续，继续开展勘查工作。已设探矿权全部或部分区域已转采矿权的，原探矿权应当申请注销或变更勘查区范围（扣除转采矿权区域）。已设探矿权因转采矿权申请分立的，勘查工作程度应当达到详查及以上。同一矿业权人的已设采矿权（《矿产资源分类细目》类别中普通建筑、砖瓦用砂石土类矿产除外）深部、上部及周边同类矿产探矿权勘查程度达到详查及以上的，可申请变更（扩大）该采矿权矿区范围。</w:t>
      </w:r>
    </w:p>
    <w:p>
      <w:pPr>
        <w:widowControl/>
        <w:spacing w:beforeLines="0" w:afterLines="0" w:line="560" w:lineRule="atLeast"/>
        <w:ind w:firstLine="640"/>
        <w:jc w:val="left"/>
        <w:rPr>
          <w:rFonts w:hint="default"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国家司法、行政、监察机关正在审判、行政复议、审查并明确要求及按照相关法律法规规定不能办理矿业权登记手续的，各级自然资源主管部门暂停办理相关登记手续。正在抵押的矿业权暂不办理转让、变更、注销登记，法律法规另有规定的除外。</w:t>
      </w:r>
    </w:p>
    <w:p>
      <w:pPr>
        <w:widowControl/>
        <w:spacing w:beforeLines="0" w:afterLines="0" w:line="560" w:lineRule="atLeast"/>
        <w:ind w:firstLine="640"/>
        <w:jc w:val="left"/>
        <w:rPr>
          <w:rFonts w:hint="default"/>
          <w:sz w:val="21"/>
          <w:szCs w:val="24"/>
        </w:rPr>
      </w:pPr>
      <w:r>
        <w:rPr>
          <w:rFonts w:hint="eastAsia" w:ascii="仿宋" w:hAnsi="仿宋" w:eastAsia="仿宋" w:cs="仿宋"/>
          <w:b/>
          <w:color w:val="auto"/>
          <w:kern w:val="0"/>
          <w:sz w:val="32"/>
          <w:szCs w:val="32"/>
          <w:lang w:bidi="ar"/>
        </w:rPr>
        <w:t>第十七条【煤炭矿业权转让变更】</w:t>
      </w:r>
      <w:r>
        <w:rPr>
          <w:rFonts w:hint="eastAsia" w:ascii="仿宋" w:hAnsi="仿宋" w:eastAsia="仿宋" w:cs="仿宋"/>
          <w:color w:val="000000"/>
          <w:kern w:val="0"/>
          <w:sz w:val="32"/>
          <w:szCs w:val="32"/>
          <w:lang w:bidi="ar"/>
        </w:rPr>
        <w:t>转让变更煤炭矿业权，矿业权所在地（州、市）人民政府（行政公署）应当根据相关煤炭矿区总体规划、煤炭工业发展规划、矿区矿业权整合等要求，出具是否同意转让变更意见，自治区自然资源主管部门审核后报自治区人民政府批准。</w:t>
      </w:r>
    </w:p>
    <w:p>
      <w:pPr>
        <w:widowControl/>
        <w:spacing w:beforeLines="0" w:afterLines="0" w:line="560" w:lineRule="atLeast"/>
        <w:ind w:firstLine="627"/>
        <w:jc w:val="left"/>
        <w:rPr>
          <w:rFonts w:hint="default" w:ascii="仿宋" w:hAnsi="仿宋" w:eastAsia="仿宋" w:cs="仿宋"/>
          <w:color w:val="000000"/>
          <w:kern w:val="0"/>
          <w:sz w:val="32"/>
          <w:szCs w:val="32"/>
          <w:lang w:bidi="ar"/>
        </w:rPr>
      </w:pPr>
      <w:r>
        <w:rPr>
          <w:rFonts w:hint="eastAsia" w:ascii="仿宋" w:hAnsi="仿宋" w:eastAsia="仿宋" w:cs="仿宋"/>
          <w:b/>
          <w:color w:val="auto"/>
          <w:kern w:val="0"/>
          <w:sz w:val="32"/>
          <w:szCs w:val="32"/>
          <w:lang w:bidi="ar"/>
        </w:rPr>
        <w:t>第十八条【矿业权自行废止和注销】</w:t>
      </w:r>
      <w:r>
        <w:rPr>
          <w:rFonts w:hint="eastAsia" w:ascii="仿宋" w:hAnsi="仿宋" w:eastAsia="仿宋" w:cs="仿宋"/>
          <w:color w:val="000000"/>
          <w:kern w:val="0"/>
          <w:sz w:val="32"/>
          <w:szCs w:val="32"/>
          <w:lang w:bidi="ar"/>
        </w:rPr>
        <w:t>除不可抗力或政府及其有关部门原因外，矿产资源勘查、采矿许可证有效期届满，矿业权人未在规定期限内申请延续、保留、注销登记；或申请延续、保留时自然资源主管部门依法不予登记且矿业权人在规定期限内未申请注销登记的，按照矿业权出让、登记权限，由自然资源主管部门在门户网站（或同级政府门户网站）公示60日，公示期满无异议的自行废止，予以注销。</w:t>
      </w:r>
    </w:p>
    <w:p>
      <w:pPr>
        <w:widowControl/>
        <w:spacing w:beforeLines="0" w:afterLines="0" w:line="560" w:lineRule="atLeast"/>
        <w:ind w:firstLine="640"/>
        <w:jc w:val="left"/>
        <w:rPr>
          <w:rFonts w:hint="default"/>
          <w:sz w:val="21"/>
          <w:szCs w:val="24"/>
        </w:rPr>
      </w:pPr>
      <w:r>
        <w:rPr>
          <w:rFonts w:hint="eastAsia" w:ascii="仿宋" w:hAnsi="仿宋" w:eastAsia="仿宋" w:cs="仿宋"/>
          <w:b/>
          <w:color w:val="auto"/>
          <w:kern w:val="0"/>
          <w:sz w:val="32"/>
          <w:szCs w:val="32"/>
          <w:lang w:bidi="ar"/>
        </w:rPr>
        <w:t>第十九条【生态保护红线】</w:t>
      </w:r>
      <w:r>
        <w:rPr>
          <w:rFonts w:hint="eastAsia" w:ascii="仿宋" w:hAnsi="仿宋" w:eastAsia="仿宋" w:cs="仿宋"/>
          <w:color w:val="000000"/>
          <w:kern w:val="0"/>
          <w:sz w:val="32"/>
          <w:szCs w:val="32"/>
          <w:lang w:bidi="ar"/>
        </w:rPr>
        <w:t>除法律、法规和自然保护地、生态保护红线管制规则允许外，不得在自然保护地、生态保护红线等禁止、限制勘查开采区内新设立矿业权。禁止、限制勘查开采区优化调整后，原已设立的矿业权部分或全部面积已不在禁止、限制区范围内，或国家相关主管部门、自治区人民政府批准的，矿业权人可申请恢复已退出的矿业权（按规定扣减的范围除外）。</w:t>
      </w:r>
    </w:p>
    <w:p>
      <w:pPr>
        <w:widowControl/>
        <w:spacing w:beforeLines="0" w:afterLines="0" w:line="560" w:lineRule="atLeast"/>
        <w:ind w:firstLine="627"/>
        <w:jc w:val="left"/>
        <w:rPr>
          <w:rFonts w:hint="default" w:ascii="仿宋" w:hAnsi="仿宋" w:eastAsia="仿宋" w:cs="仿宋"/>
          <w:color w:val="000000"/>
          <w:kern w:val="0"/>
          <w:sz w:val="32"/>
          <w:szCs w:val="32"/>
          <w:lang w:bidi="ar"/>
        </w:rPr>
      </w:pPr>
      <w:r>
        <w:rPr>
          <w:rFonts w:hint="eastAsia" w:ascii="仿宋" w:hAnsi="仿宋" w:eastAsia="仿宋" w:cs="仿宋"/>
          <w:b/>
          <w:color w:val="auto"/>
          <w:kern w:val="0"/>
          <w:sz w:val="32"/>
          <w:szCs w:val="32"/>
          <w:lang w:bidi="ar"/>
        </w:rPr>
        <w:t>第二十条【矿业权出让合同管理】</w:t>
      </w:r>
      <w:r>
        <w:rPr>
          <w:rFonts w:hint="eastAsia" w:ascii="仿宋" w:hAnsi="仿宋" w:eastAsia="仿宋" w:cs="仿宋"/>
          <w:color w:val="000000"/>
          <w:kern w:val="0"/>
          <w:sz w:val="32"/>
          <w:szCs w:val="32"/>
          <w:lang w:bidi="ar"/>
        </w:rPr>
        <w:t>出让矿业权，自然资源主管部门应当与受让人签订出让合同，载明出让的矿业权基本信息，明确双方的权利义务。双方除遵守国家、自治区矿产资源管理有关法律、法规、政策和标准、规范外，还应当遵守矿业权出让合同的约定，依法履行法定权利和义务。矿业权人履行法定权利、义务和合同约定情况纳入全国矿业权人勘查开采信息公示系统。</w:t>
      </w:r>
    </w:p>
    <w:p>
      <w:pPr>
        <w:widowControl/>
        <w:spacing w:beforeLines="0" w:afterLines="0" w:line="560" w:lineRule="atLeast"/>
        <w:ind w:firstLine="640"/>
        <w:jc w:val="left"/>
        <w:rPr>
          <w:rFonts w:hint="default" w:ascii="仿宋" w:hAnsi="仿宋" w:eastAsia="仿宋" w:cs="仿宋"/>
          <w:color w:val="000000"/>
          <w:kern w:val="0"/>
          <w:sz w:val="32"/>
          <w:szCs w:val="32"/>
          <w:lang w:bidi="ar"/>
        </w:rPr>
      </w:pPr>
      <w:r>
        <w:rPr>
          <w:rFonts w:hint="eastAsia" w:ascii="仿宋" w:hAnsi="仿宋" w:eastAsia="仿宋" w:cs="仿宋"/>
          <w:b/>
          <w:color w:val="auto"/>
          <w:kern w:val="0"/>
          <w:sz w:val="32"/>
          <w:szCs w:val="32"/>
          <w:lang w:bidi="ar"/>
        </w:rPr>
        <w:t>第二十一条【矿业权出让登记监督】</w:t>
      </w:r>
      <w:r>
        <w:rPr>
          <w:rFonts w:hint="eastAsia" w:ascii="仿宋" w:hAnsi="仿宋" w:eastAsia="仿宋" w:cs="仿宋"/>
          <w:color w:val="000000"/>
          <w:kern w:val="0"/>
          <w:sz w:val="32"/>
          <w:szCs w:val="32"/>
          <w:lang w:bidi="ar"/>
        </w:rPr>
        <w:t>矿业权出让、登记实行自治区矿业权管理信息系统一体化管理，纳入自治区一体化在线政务服务平台，统一矿业权出让、登记程序和审核标准。自治区自然资源主管部门对全区矿业权出让、登记实行动态监测。</w:t>
      </w:r>
    </w:p>
    <w:p>
      <w:pPr>
        <w:widowControl/>
        <w:spacing w:beforeLines="0" w:afterLines="0" w:line="560" w:lineRule="atLeast"/>
        <w:ind w:firstLine="640"/>
        <w:jc w:val="left"/>
        <w:rPr>
          <w:rFonts w:hint="default" w:ascii="仿宋" w:hAnsi="仿宋" w:eastAsia="仿宋" w:cs="仿宋"/>
          <w:color w:val="000000"/>
          <w:kern w:val="0"/>
          <w:sz w:val="32"/>
          <w:szCs w:val="32"/>
          <w:lang w:bidi="ar"/>
        </w:rPr>
      </w:pPr>
      <w:r>
        <w:rPr>
          <w:rFonts w:hint="eastAsia" w:ascii="仿宋" w:hAnsi="仿宋" w:eastAsia="仿宋" w:cs="仿宋"/>
          <w:b/>
          <w:color w:val="auto"/>
          <w:kern w:val="0"/>
          <w:sz w:val="32"/>
          <w:szCs w:val="32"/>
          <w:lang w:bidi="ar"/>
        </w:rPr>
        <w:t>第二十二条【绿色勘查开采】</w:t>
      </w:r>
      <w:r>
        <w:rPr>
          <w:rFonts w:hint="eastAsia" w:ascii="仿宋" w:hAnsi="仿宋" w:eastAsia="仿宋" w:cs="仿宋"/>
          <w:color w:val="000000"/>
          <w:kern w:val="0"/>
          <w:sz w:val="32"/>
          <w:szCs w:val="32"/>
          <w:lang w:bidi="ar"/>
        </w:rPr>
        <w:t>勘查开采矿产资源应当坚持生态环境保护优先和绿色发展，将保护生态环境、节约集约开发利用矿产资源贯穿勘查开采全过程。</w:t>
      </w:r>
    </w:p>
    <w:p>
      <w:pPr>
        <w:widowControl/>
        <w:spacing w:beforeLines="0" w:afterLines="0" w:line="560" w:lineRule="atLeast"/>
        <w:ind w:firstLine="640"/>
        <w:jc w:val="left"/>
        <w:rPr>
          <w:rFonts w:hint="default"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推进绿色勘查、绿色矿山和绿色矿业发展示范区建设，严格开采规模和安全生产、生态环境保护等准入标准，严禁“三高”项目进新疆。</w:t>
      </w:r>
    </w:p>
    <w:p>
      <w:pPr>
        <w:widowControl/>
        <w:spacing w:beforeLines="0" w:afterLines="0" w:line="560" w:lineRule="atLeast"/>
        <w:jc w:val="center"/>
        <w:rPr>
          <w:rFonts w:hint="eastAsia" w:ascii="黑体" w:hAnsi="宋体" w:eastAsia="黑体" w:cs="黑体"/>
          <w:color w:val="000000"/>
          <w:kern w:val="0"/>
          <w:sz w:val="32"/>
          <w:szCs w:val="32"/>
          <w:lang w:bidi="ar"/>
        </w:rPr>
      </w:pPr>
    </w:p>
    <w:p>
      <w:pPr>
        <w:widowControl/>
        <w:spacing w:beforeLines="0" w:afterLines="0" w:line="560" w:lineRule="atLeast"/>
        <w:jc w:val="center"/>
        <w:rPr>
          <w:rFonts w:hint="default"/>
          <w:sz w:val="21"/>
          <w:szCs w:val="24"/>
        </w:rPr>
      </w:pPr>
      <w:r>
        <w:rPr>
          <w:rFonts w:hint="eastAsia" w:ascii="黑体" w:hAnsi="宋体" w:eastAsia="黑体" w:cs="黑体"/>
          <w:color w:val="000000"/>
          <w:kern w:val="0"/>
          <w:sz w:val="32"/>
          <w:szCs w:val="32"/>
          <w:lang w:bidi="ar"/>
        </w:rPr>
        <w:t>第五章  </w:t>
      </w:r>
      <w:r>
        <w:rPr>
          <w:rFonts w:hint="eastAsia" w:ascii="黑体" w:hAnsi="宋体" w:eastAsia="黑体" w:cs="黑体"/>
          <w:color w:val="333333"/>
          <w:kern w:val="0"/>
          <w:sz w:val="32"/>
          <w:szCs w:val="32"/>
          <w:lang w:bidi="ar"/>
        </w:rPr>
        <w:t>矿产资源储量管理</w:t>
      </w:r>
    </w:p>
    <w:p>
      <w:pPr>
        <w:widowControl/>
        <w:spacing w:beforeLines="0" w:afterLines="0" w:line="560" w:lineRule="atLeast"/>
        <w:ind w:firstLine="640"/>
        <w:jc w:val="left"/>
        <w:rPr>
          <w:rFonts w:hint="default"/>
          <w:sz w:val="21"/>
          <w:szCs w:val="24"/>
        </w:rPr>
      </w:pPr>
      <w:r>
        <w:rPr>
          <w:rFonts w:hint="eastAsia" w:ascii="仿宋" w:hAnsi="仿宋" w:eastAsia="仿宋" w:cs="仿宋"/>
          <w:b/>
          <w:color w:val="auto"/>
          <w:kern w:val="0"/>
          <w:sz w:val="32"/>
          <w:szCs w:val="32"/>
          <w:lang w:bidi="ar"/>
        </w:rPr>
        <w:t>第二十三条【改革矿产资源储量分类】</w:t>
      </w:r>
      <w:r>
        <w:rPr>
          <w:rFonts w:hint="eastAsia" w:ascii="仿宋" w:hAnsi="仿宋" w:eastAsia="仿宋" w:cs="仿宋"/>
          <w:color w:val="000000"/>
          <w:kern w:val="0"/>
          <w:sz w:val="32"/>
          <w:szCs w:val="32"/>
          <w:lang w:bidi="ar"/>
        </w:rPr>
        <w:t>全面落实地质勘查和矿产资源储量国家技术标准及规范。将矿产勘查分为普查、详查、勘探三个阶段。固体矿产分资源量和储量两类，资源量按照地质可靠程度由低到高分为推断资源量、控制资源量和探明资源量三级，储量按照地质可靠程度和可行性研究结果分为可信储量和证实储量两级。油气矿产资源储量分资源量和地质储量两类，资源量不再分级，地质储量分为预测地质储量、控制地质储量和探明地质储量三级。</w:t>
      </w:r>
    </w:p>
    <w:p>
      <w:pPr>
        <w:widowControl/>
        <w:spacing w:beforeLines="0" w:afterLines="0" w:line="560" w:lineRule="atLeast"/>
        <w:ind w:firstLine="640"/>
        <w:jc w:val="left"/>
        <w:rPr>
          <w:rFonts w:hint="default" w:ascii="仿宋" w:hAnsi="仿宋" w:eastAsia="仿宋" w:cs="仿宋"/>
          <w:color w:val="000000"/>
          <w:kern w:val="0"/>
          <w:sz w:val="32"/>
          <w:szCs w:val="32"/>
          <w:lang w:bidi="ar"/>
        </w:rPr>
      </w:pPr>
      <w:r>
        <w:rPr>
          <w:rFonts w:hint="eastAsia" w:ascii="仿宋" w:hAnsi="仿宋" w:eastAsia="仿宋" w:cs="仿宋"/>
          <w:b/>
          <w:color w:val="auto"/>
          <w:kern w:val="0"/>
          <w:sz w:val="32"/>
          <w:szCs w:val="32"/>
          <w:lang w:bidi="ar"/>
        </w:rPr>
        <w:t>第二十四条【减少储量评审备案范围】</w:t>
      </w:r>
      <w:r>
        <w:rPr>
          <w:rFonts w:hint="eastAsia" w:ascii="仿宋" w:hAnsi="仿宋" w:eastAsia="仿宋" w:cs="仿宋"/>
          <w:color w:val="000000"/>
          <w:kern w:val="0"/>
          <w:sz w:val="32"/>
          <w:szCs w:val="32"/>
          <w:lang w:bidi="ar"/>
        </w:rPr>
        <w:t>减少自然资源主管部门直接评审备案矿产资源储量范围。探矿权转采矿权，采矿权变更矿种或范围，煤层气矿产在探采矿期间探明地质储量、其他矿产在采矿期间资源储量发生重大变化（变化量超过30%或达到中型规模以上），建设项目压覆重要矿产资源，或其他涉及矿产资源国家所有者权益处置的（此类情形仅评审不备案），由自然资源主管部门按照矿业权出让、登记权限负责矿产资源储量评审备案；其他不再由自然资源主管部门直接进行评审备案。</w:t>
      </w:r>
    </w:p>
    <w:p>
      <w:pPr>
        <w:widowControl/>
        <w:spacing w:beforeLines="0" w:afterLines="0" w:line="560" w:lineRule="atLeast"/>
        <w:ind w:firstLine="640"/>
        <w:jc w:val="left"/>
        <w:rPr>
          <w:rFonts w:hint="default"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自然资源主管部门进行矿产资源储量评审，可直接组织开展，也可委托矿产资源储量评审机构开展。</w:t>
      </w:r>
    </w:p>
    <w:p>
      <w:pPr>
        <w:widowControl/>
        <w:spacing w:beforeLines="0" w:afterLines="0" w:line="560" w:lineRule="atLeast"/>
        <w:ind w:firstLine="640"/>
        <w:jc w:val="left"/>
        <w:rPr>
          <w:rFonts w:hint="default"/>
          <w:sz w:val="21"/>
          <w:szCs w:val="24"/>
        </w:rPr>
      </w:pPr>
      <w:r>
        <w:rPr>
          <w:rFonts w:hint="eastAsia" w:ascii="仿宋" w:hAnsi="仿宋" w:eastAsia="仿宋" w:cs="仿宋"/>
          <w:b/>
          <w:color w:val="auto"/>
          <w:kern w:val="0"/>
          <w:sz w:val="32"/>
          <w:szCs w:val="32"/>
          <w:lang w:bidi="ar"/>
        </w:rPr>
        <w:t>第二十五条【归并储量评审备案登记事项】</w:t>
      </w:r>
      <w:r>
        <w:rPr>
          <w:rFonts w:hint="eastAsia" w:ascii="仿宋" w:hAnsi="仿宋" w:eastAsia="仿宋" w:cs="仿宋"/>
          <w:color w:val="000000"/>
          <w:kern w:val="0"/>
          <w:sz w:val="32"/>
          <w:szCs w:val="32"/>
          <w:lang w:bidi="ar"/>
        </w:rPr>
        <w:t>简化归并矿产资源评审备案和登记事项。将矿产资源储量登记书内容纳入评审备案管理，作为矿产资源储量统计的依据。</w:t>
      </w:r>
    </w:p>
    <w:p>
      <w:pPr>
        <w:widowControl/>
        <w:spacing w:beforeLines="0" w:afterLines="0" w:line="560" w:lineRule="atLeast"/>
        <w:ind w:firstLine="640"/>
        <w:jc w:val="left"/>
        <w:rPr>
          <w:rFonts w:hint="default"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自然资源主管部门依据矿业权人或压矿建设项目单位提交的矿产资源储量评审备案申请，对矿产资源储量报告进行审查，出具评审备案文件。</w:t>
      </w:r>
    </w:p>
    <w:p>
      <w:pPr>
        <w:widowControl/>
        <w:spacing w:beforeLines="0" w:afterLines="0" w:line="560" w:lineRule="atLeast"/>
        <w:ind w:firstLine="640"/>
        <w:jc w:val="left"/>
        <w:rPr>
          <w:rFonts w:hint="default"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各级自然资源主管部门应当按照矿业权出让、登记权限建立本级矿产资源储量数据库，并与自治区矿产资源储量数据库衔接。</w:t>
      </w:r>
    </w:p>
    <w:p>
      <w:pPr>
        <w:widowControl/>
        <w:spacing w:beforeLines="0" w:afterLines="0" w:line="560" w:lineRule="atLeast"/>
        <w:jc w:val="center"/>
        <w:rPr>
          <w:rFonts w:hint="default"/>
          <w:sz w:val="21"/>
          <w:szCs w:val="24"/>
        </w:rPr>
      </w:pPr>
      <w:r>
        <w:rPr>
          <w:rFonts w:hint="default" w:ascii="Times New Roman" w:hAnsi="Times New Roman" w:eastAsia="微软雅黑"/>
          <w:color w:val="333333"/>
          <w:kern w:val="0"/>
          <w:sz w:val="32"/>
          <w:szCs w:val="32"/>
          <w:lang w:bidi="ar"/>
        </w:rPr>
        <w:t> </w:t>
      </w:r>
    </w:p>
    <w:p>
      <w:pPr>
        <w:widowControl/>
        <w:spacing w:beforeLines="0" w:afterLines="0" w:line="560" w:lineRule="atLeast"/>
        <w:jc w:val="center"/>
        <w:rPr>
          <w:rFonts w:hint="default"/>
          <w:sz w:val="21"/>
          <w:szCs w:val="24"/>
        </w:rPr>
      </w:pPr>
      <w:r>
        <w:rPr>
          <w:rFonts w:hint="eastAsia" w:ascii="黑体" w:hAnsi="宋体" w:eastAsia="黑体" w:cs="黑体"/>
          <w:color w:val="333333"/>
          <w:kern w:val="0"/>
          <w:sz w:val="32"/>
          <w:szCs w:val="32"/>
          <w:lang w:bidi="ar"/>
        </w:rPr>
        <w:t>第六章  矿业权出让收益处置</w:t>
      </w:r>
    </w:p>
    <w:p>
      <w:pPr>
        <w:widowControl/>
        <w:spacing w:beforeLines="0" w:afterLines="0" w:line="560" w:lineRule="atLeast"/>
        <w:ind w:firstLine="640"/>
        <w:jc w:val="left"/>
        <w:rPr>
          <w:rFonts w:hint="default" w:ascii="仿宋" w:hAnsi="仿宋" w:eastAsia="仿宋" w:cs="仿宋"/>
          <w:color w:val="000000"/>
          <w:kern w:val="0"/>
          <w:sz w:val="32"/>
          <w:szCs w:val="32"/>
          <w:lang w:bidi="ar"/>
        </w:rPr>
      </w:pPr>
      <w:r>
        <w:rPr>
          <w:rFonts w:hint="eastAsia" w:ascii="仿宋" w:hAnsi="仿宋" w:eastAsia="仿宋" w:cs="仿宋"/>
          <w:b/>
          <w:color w:val="auto"/>
          <w:kern w:val="0"/>
          <w:sz w:val="32"/>
          <w:szCs w:val="32"/>
          <w:lang w:bidi="ar"/>
        </w:rPr>
        <w:t>第二十六条【矿业权出让收益评估】</w:t>
      </w:r>
      <w:r>
        <w:rPr>
          <w:rFonts w:hint="eastAsia" w:ascii="仿宋" w:hAnsi="仿宋" w:eastAsia="仿宋" w:cs="仿宋"/>
          <w:color w:val="000000"/>
          <w:kern w:val="0"/>
          <w:sz w:val="32"/>
          <w:szCs w:val="32"/>
          <w:lang w:bidi="ar"/>
        </w:rPr>
        <w:t>自然资源主管部门出让矿业权涉及国家所有者权益处置的，应当按照规定进行矿业权出让收益评估。</w:t>
      </w:r>
    </w:p>
    <w:p>
      <w:pPr>
        <w:widowControl/>
        <w:spacing w:beforeLines="0" w:afterLines="0" w:line="560" w:lineRule="atLeast"/>
        <w:ind w:firstLine="640"/>
        <w:jc w:val="left"/>
        <w:rPr>
          <w:rFonts w:hint="default" w:ascii="仿宋" w:hAnsi="仿宋" w:eastAsia="仿宋" w:cs="仿宋"/>
          <w:color w:val="000000"/>
          <w:kern w:val="0"/>
          <w:sz w:val="32"/>
          <w:szCs w:val="32"/>
          <w:lang w:bidi="ar"/>
        </w:rPr>
      </w:pPr>
      <w:r>
        <w:rPr>
          <w:rFonts w:hint="eastAsia" w:ascii="仿宋" w:hAnsi="仿宋" w:eastAsia="仿宋" w:cs="仿宋"/>
          <w:b/>
          <w:color w:val="auto"/>
          <w:kern w:val="0"/>
          <w:sz w:val="32"/>
          <w:szCs w:val="32"/>
          <w:lang w:bidi="ar"/>
        </w:rPr>
        <w:t>第二十七条【矿业权出让收益收缴】</w:t>
      </w:r>
      <w:r>
        <w:rPr>
          <w:rFonts w:hint="eastAsia" w:ascii="仿宋" w:hAnsi="仿宋" w:eastAsia="仿宋" w:cs="仿宋"/>
          <w:color w:val="000000"/>
          <w:kern w:val="0"/>
          <w:sz w:val="32"/>
          <w:szCs w:val="32"/>
          <w:lang w:bidi="ar"/>
        </w:rPr>
        <w:t>矿业权出让收益按出让合同约定缴纳。矿业权出让收益低于500万元（含）的，须在办理矿业权登记前一次性缴纳；500万元至1000万元（含）的，首次缴纳不低于50%；1000万元至2000万元（含）的，首次缴纳不低于40%；2000万元至5000万元（含）的，首次缴纳不低于30%；5000万元以上的，首次缴纳不低于20%。</w:t>
      </w:r>
    </w:p>
    <w:p>
      <w:pPr>
        <w:widowControl/>
        <w:spacing w:beforeLines="0" w:afterLines="0" w:line="560" w:lineRule="atLeast"/>
        <w:ind w:firstLine="640"/>
        <w:jc w:val="left"/>
        <w:rPr>
          <w:rFonts w:hint="default"/>
          <w:sz w:val="21"/>
          <w:szCs w:val="24"/>
        </w:rPr>
      </w:pPr>
      <w:r>
        <w:rPr>
          <w:rFonts w:hint="eastAsia" w:ascii="仿宋" w:hAnsi="仿宋" w:eastAsia="仿宋" w:cs="仿宋"/>
          <w:b/>
          <w:color w:val="auto"/>
          <w:kern w:val="0"/>
          <w:sz w:val="32"/>
          <w:szCs w:val="32"/>
          <w:lang w:bidi="ar"/>
        </w:rPr>
        <w:t>第二十八条【未缴纳矿业权出让收益收缴】</w:t>
      </w:r>
      <w:r>
        <w:rPr>
          <w:rFonts w:hint="eastAsia" w:ascii="仿宋" w:hAnsi="仿宋" w:eastAsia="仿宋" w:cs="仿宋"/>
          <w:color w:val="000000"/>
          <w:kern w:val="0"/>
          <w:sz w:val="32"/>
          <w:szCs w:val="32"/>
          <w:lang w:bidi="ar"/>
        </w:rPr>
        <w:t>已设采矿权深部或上部的探矿权、已有探矿权经批准变更或增加勘查矿种及应当缴纳出让收益（价款）但尚未缴纳的矿业权，应当在办理采矿权登记时按照规定处置矿业权出让收益。</w:t>
      </w:r>
    </w:p>
    <w:p>
      <w:pPr>
        <w:widowControl/>
        <w:spacing w:beforeLines="0" w:afterLines="0" w:line="560" w:lineRule="atLeast"/>
        <w:ind w:firstLine="640"/>
        <w:jc w:val="left"/>
        <w:rPr>
          <w:rFonts w:hint="default"/>
          <w:sz w:val="21"/>
          <w:szCs w:val="24"/>
        </w:rPr>
      </w:pPr>
      <w:r>
        <w:rPr>
          <w:rFonts w:hint="eastAsia" w:ascii="仿宋" w:hAnsi="仿宋" w:eastAsia="仿宋" w:cs="仿宋"/>
          <w:color w:val="000000"/>
          <w:kern w:val="0"/>
          <w:sz w:val="32"/>
          <w:szCs w:val="32"/>
          <w:lang w:bidi="ar"/>
        </w:rPr>
        <w:t>转让探矿权，未缴纳的出让收益由受让人缴纳。转让采矿权并分期缴纳出让收益的，采矿权人需缴清已到期应缴部分，剩余部分由受让人继续缴纳。</w:t>
      </w:r>
    </w:p>
    <w:p>
      <w:pPr>
        <w:widowControl/>
        <w:spacing w:beforeLines="0" w:afterLines="0" w:line="560" w:lineRule="atLeast"/>
        <w:ind w:firstLine="640"/>
        <w:jc w:val="left"/>
        <w:rPr>
          <w:rFonts w:hint="default" w:ascii="仿宋" w:hAnsi="仿宋" w:eastAsia="仿宋" w:cs="仿宋"/>
          <w:color w:val="000000"/>
          <w:kern w:val="0"/>
          <w:sz w:val="32"/>
          <w:szCs w:val="32"/>
          <w:lang w:bidi="ar"/>
        </w:rPr>
      </w:pPr>
      <w:r>
        <w:rPr>
          <w:rFonts w:hint="eastAsia" w:ascii="仿宋" w:hAnsi="仿宋" w:eastAsia="仿宋" w:cs="仿宋"/>
          <w:b/>
          <w:color w:val="auto"/>
          <w:kern w:val="0"/>
          <w:sz w:val="32"/>
          <w:szCs w:val="32"/>
          <w:lang w:bidi="ar"/>
        </w:rPr>
        <w:t>第二十九条【矿业权出让收益特殊情形收缴】</w:t>
      </w:r>
      <w:r>
        <w:rPr>
          <w:rFonts w:hint="eastAsia" w:ascii="仿宋" w:hAnsi="仿宋" w:eastAsia="仿宋" w:cs="仿宋"/>
          <w:color w:val="000000"/>
          <w:kern w:val="0"/>
          <w:sz w:val="32"/>
          <w:szCs w:val="32"/>
          <w:lang w:bidi="ar"/>
        </w:rPr>
        <w:t>以有偿方式取得的矿业权，原评估资源量范围（包括平面和剖面，下同）小于矿业权范围、申请转采矿权时查明储量范围大于原评估资源量范围、《矿业权出让收益征收管理暂行办法》（财综〔2017〕35号）实施前出让的探矿权探明储量大于原出让评估时储量、采矿权增加资源量和储量的，应当按照规定缴纳矿业权出让收益。</w:t>
      </w:r>
    </w:p>
    <w:p>
      <w:pPr>
        <w:widowControl/>
        <w:spacing w:beforeLines="0" w:afterLines="0" w:line="560" w:lineRule="atLeast"/>
        <w:ind w:firstLine="640"/>
        <w:jc w:val="left"/>
        <w:rPr>
          <w:rFonts w:hint="default"/>
          <w:sz w:val="21"/>
          <w:szCs w:val="24"/>
        </w:rPr>
      </w:pPr>
      <w:r>
        <w:rPr>
          <w:rFonts w:hint="eastAsia" w:ascii="仿宋" w:hAnsi="仿宋" w:eastAsia="仿宋" w:cs="仿宋"/>
          <w:color w:val="000000"/>
          <w:kern w:val="0"/>
          <w:sz w:val="32"/>
          <w:szCs w:val="32"/>
          <w:lang w:bidi="ar"/>
        </w:rPr>
        <w:t>探矿权未转为采矿权的，不再缴纳出让收益。</w:t>
      </w:r>
    </w:p>
    <w:p>
      <w:pPr>
        <w:widowControl/>
        <w:spacing w:beforeLines="0" w:afterLines="0" w:line="560" w:lineRule="atLeast"/>
        <w:ind w:firstLine="640"/>
        <w:jc w:val="left"/>
        <w:rPr>
          <w:rFonts w:hint="default" w:ascii="仿宋" w:hAnsi="仿宋" w:eastAsia="仿宋" w:cs="仿宋"/>
          <w:color w:val="000000"/>
          <w:kern w:val="0"/>
          <w:sz w:val="32"/>
          <w:szCs w:val="32"/>
          <w:lang w:bidi="ar"/>
        </w:rPr>
      </w:pPr>
      <w:r>
        <w:rPr>
          <w:rFonts w:hint="eastAsia" w:ascii="仿宋" w:hAnsi="仿宋" w:eastAsia="仿宋" w:cs="仿宋"/>
          <w:b/>
          <w:color w:val="auto"/>
          <w:kern w:val="0"/>
          <w:sz w:val="32"/>
          <w:szCs w:val="32"/>
          <w:lang w:bidi="ar"/>
        </w:rPr>
        <w:t>第三十条【试行出让收益率收缴矿业权出让收益】</w:t>
      </w:r>
      <w:r>
        <w:rPr>
          <w:rFonts w:hint="eastAsia" w:ascii="仿宋" w:hAnsi="仿宋" w:eastAsia="仿宋" w:cs="仿宋"/>
          <w:color w:val="000000"/>
          <w:kern w:val="0"/>
          <w:sz w:val="32"/>
          <w:szCs w:val="32"/>
          <w:lang w:bidi="ar"/>
        </w:rPr>
        <w:t>煤层气、油砂、油页岩、地热（干热岩）、矿泉水等矿产资源试行按矿业权出让收益率收缴矿业权出让收益，探索其他矿种矿产资源按矿业权出让收益率收缴矿业权出让收益。</w:t>
      </w:r>
    </w:p>
    <w:p>
      <w:pPr>
        <w:widowControl/>
        <w:spacing w:beforeLines="0" w:afterLines="0" w:line="560" w:lineRule="atLeast"/>
        <w:ind w:firstLine="640"/>
        <w:jc w:val="left"/>
        <w:rPr>
          <w:rFonts w:hint="default" w:ascii="仿宋" w:hAnsi="仿宋" w:eastAsia="仿宋" w:cs="仿宋"/>
          <w:color w:val="000000"/>
          <w:kern w:val="0"/>
          <w:sz w:val="32"/>
          <w:szCs w:val="32"/>
          <w:lang w:bidi="ar"/>
        </w:rPr>
      </w:pPr>
      <w:r>
        <w:rPr>
          <w:rFonts w:hint="eastAsia" w:ascii="仿宋" w:hAnsi="仿宋" w:eastAsia="仿宋" w:cs="仿宋"/>
          <w:b/>
          <w:color w:val="auto"/>
          <w:kern w:val="0"/>
          <w:sz w:val="32"/>
          <w:szCs w:val="32"/>
          <w:lang w:bidi="ar"/>
        </w:rPr>
        <w:t>第三十一条【矿业权出让收益分成】</w:t>
      </w:r>
      <w:r>
        <w:rPr>
          <w:rFonts w:hint="eastAsia" w:ascii="仿宋" w:hAnsi="仿宋" w:eastAsia="仿宋" w:cs="仿宋"/>
          <w:color w:val="000000"/>
          <w:kern w:val="0"/>
          <w:sz w:val="32"/>
          <w:szCs w:val="32"/>
          <w:lang w:bidi="ar"/>
        </w:rPr>
        <w:t>矿业权出让收益自治区本级收缴的，按中央40%、自治区60%分成处置；地（州、市）收缴的，按中央40%、地（州、市）37.5%、县（市）22.5%分成处置；县（市）级收缴的，按中央40%、地（州、市）7.5%、县（市）52.5%分成处置。国家、</w:t>
      </w:r>
      <w:r>
        <w:rPr>
          <w:rFonts w:hint="eastAsia" w:ascii="仿宋" w:hAnsi="仿宋" w:eastAsia="仿宋" w:cs="仿宋"/>
          <w:color w:val="000000"/>
          <w:kern w:val="0"/>
          <w:sz w:val="32"/>
          <w:szCs w:val="32"/>
          <w:lang w:bidi="ar"/>
        </w:rPr>
        <w:t>自治区另有规定的从其规定。</w:t>
      </w:r>
    </w:p>
    <w:p>
      <w:pPr>
        <w:widowControl/>
        <w:spacing w:beforeLines="0" w:afterLines="0" w:line="560" w:lineRule="atLeast"/>
        <w:ind w:firstLine="640"/>
        <w:jc w:val="left"/>
        <w:rPr>
          <w:rFonts w:hint="default"/>
          <w:sz w:val="21"/>
          <w:szCs w:val="24"/>
        </w:rPr>
      </w:pPr>
      <w:r>
        <w:rPr>
          <w:rFonts w:hint="default" w:ascii="Times New Roman" w:hAnsi="Times New Roman" w:eastAsia="微软雅黑"/>
          <w:color w:val="333333"/>
          <w:kern w:val="0"/>
          <w:sz w:val="32"/>
          <w:szCs w:val="32"/>
          <w:lang w:bidi="ar"/>
        </w:rPr>
        <w:t> </w:t>
      </w:r>
    </w:p>
    <w:p>
      <w:pPr>
        <w:widowControl/>
        <w:spacing w:beforeLines="0" w:afterLines="0" w:line="560" w:lineRule="atLeast"/>
        <w:jc w:val="center"/>
        <w:rPr>
          <w:rFonts w:hint="default"/>
          <w:sz w:val="21"/>
          <w:szCs w:val="24"/>
        </w:rPr>
      </w:pPr>
      <w:r>
        <w:rPr>
          <w:rFonts w:hint="eastAsia" w:ascii="黑体" w:hAnsi="宋体" w:eastAsia="黑体" w:cs="黑体"/>
          <w:color w:val="333333"/>
          <w:kern w:val="0"/>
          <w:sz w:val="32"/>
          <w:szCs w:val="32"/>
          <w:lang w:bidi="ar"/>
        </w:rPr>
        <w:t>第七章  财政出资地质勘查工作</w:t>
      </w:r>
    </w:p>
    <w:p>
      <w:pPr>
        <w:widowControl/>
        <w:spacing w:beforeLines="0" w:afterLines="0" w:line="560" w:lineRule="atLeast"/>
        <w:ind w:firstLine="640"/>
        <w:jc w:val="left"/>
        <w:rPr>
          <w:rFonts w:hint="default" w:ascii="仿宋" w:hAnsi="仿宋" w:eastAsia="仿宋" w:cs="仿宋"/>
          <w:color w:val="000000"/>
          <w:kern w:val="0"/>
          <w:sz w:val="32"/>
          <w:szCs w:val="32"/>
          <w:lang w:bidi="ar"/>
        </w:rPr>
      </w:pPr>
      <w:r>
        <w:rPr>
          <w:rFonts w:hint="eastAsia" w:ascii="仿宋" w:hAnsi="仿宋" w:eastAsia="仿宋" w:cs="仿宋"/>
          <w:b/>
          <w:color w:val="auto"/>
          <w:kern w:val="0"/>
          <w:sz w:val="32"/>
          <w:szCs w:val="32"/>
          <w:lang w:bidi="ar"/>
        </w:rPr>
        <w:t>第三十二条【财政出资地勘项目管理】</w:t>
      </w:r>
      <w:r>
        <w:rPr>
          <w:rFonts w:hint="eastAsia" w:ascii="仿宋" w:hAnsi="仿宋" w:eastAsia="仿宋" w:cs="仿宋"/>
          <w:color w:val="000000"/>
          <w:kern w:val="0"/>
          <w:sz w:val="32"/>
          <w:szCs w:val="32"/>
          <w:lang w:bidi="ar"/>
        </w:rPr>
        <w:t>中央或自治区、地（州、市）财政出资的地质勘查项目不设置探矿权，凭项目任务书开展地质勘查工作，并依法办理相关手续。地（州、市）财政出资的地质勘查项目仅限于其矿业权出让、登记权限内的矿种，且应当报自治区自然资源主管部门备案。</w:t>
      </w:r>
    </w:p>
    <w:p>
      <w:pPr>
        <w:widowControl/>
        <w:spacing w:beforeLines="0" w:afterLines="0" w:line="560" w:lineRule="atLeast"/>
        <w:ind w:firstLine="640"/>
        <w:jc w:val="left"/>
        <w:rPr>
          <w:rFonts w:hint="default"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财政出资地质勘查项目实行成果清单管理，根据矿业权出让、登记权限由自然资源主管部门面向各类市场主体公开竞争性出让矿业权。</w:t>
      </w:r>
    </w:p>
    <w:p>
      <w:pPr>
        <w:pStyle w:val="3"/>
        <w:widowControl/>
        <w:spacing w:before="0" w:beforeLines="0" w:beforeAutospacing="0" w:after="0" w:afterLines="0" w:afterAutospacing="0" w:line="560" w:lineRule="atLeast"/>
        <w:ind w:firstLine="641"/>
        <w:rPr>
          <w:rFonts w:hint="default" w:ascii="仿宋" w:hAnsi="仿宋" w:eastAsia="仿宋" w:cs="仿宋"/>
          <w:color w:val="000000"/>
          <w:kern w:val="0"/>
          <w:sz w:val="32"/>
          <w:szCs w:val="32"/>
          <w:lang w:val="en-US" w:eastAsia="zh-CN" w:bidi="ar"/>
        </w:rPr>
      </w:pPr>
      <w:r>
        <w:rPr>
          <w:rFonts w:hint="eastAsia" w:ascii="仿宋" w:hAnsi="仿宋" w:eastAsia="仿宋" w:cs="仿宋"/>
          <w:b/>
          <w:color w:val="auto"/>
          <w:kern w:val="0"/>
          <w:sz w:val="32"/>
          <w:szCs w:val="32"/>
          <w:lang w:val="en-US" w:eastAsia="zh-CN" w:bidi="ar"/>
        </w:rPr>
        <w:t>第三十三条【构建多元化地勘投入机制】</w:t>
      </w:r>
      <w:r>
        <w:rPr>
          <w:rFonts w:hint="eastAsia" w:ascii="仿宋" w:hAnsi="仿宋" w:eastAsia="仿宋" w:cs="仿宋"/>
          <w:color w:val="000000"/>
          <w:kern w:val="0"/>
          <w:sz w:val="32"/>
          <w:szCs w:val="32"/>
          <w:lang w:val="en-US" w:eastAsia="zh-CN" w:bidi="ar"/>
        </w:rPr>
        <w:t>稳定自治区基础地质调查、矿产勘查财政资金投入，激励自治区地质勘查事业单位（含中央驻疆）利用自有资金开展地质找矿，探索建立自治区地质勘查基金，多元化加大地质矿产勘查投入。</w:t>
      </w:r>
    </w:p>
    <w:p>
      <w:pPr>
        <w:widowControl/>
        <w:spacing w:beforeLines="0" w:afterLines="0" w:line="560" w:lineRule="atLeast"/>
        <w:jc w:val="center"/>
        <w:rPr>
          <w:rFonts w:hint="default"/>
          <w:sz w:val="21"/>
          <w:szCs w:val="24"/>
        </w:rPr>
      </w:pPr>
      <w:r>
        <w:rPr>
          <w:rFonts w:hint="eastAsia" w:ascii="黑体" w:hAnsi="宋体" w:eastAsia="黑体" w:cs="黑体"/>
          <w:color w:val="333333"/>
          <w:kern w:val="0"/>
          <w:sz w:val="32"/>
          <w:szCs w:val="32"/>
          <w:lang w:bidi="ar"/>
        </w:rPr>
        <w:t>第八章  附则</w:t>
      </w:r>
    </w:p>
    <w:p>
      <w:pPr>
        <w:widowControl/>
        <w:spacing w:beforeLines="0" w:afterLines="0" w:line="560" w:lineRule="atLeast"/>
        <w:ind w:firstLine="640"/>
        <w:jc w:val="left"/>
        <w:rPr>
          <w:rFonts w:hint="default" w:ascii="仿宋" w:hAnsi="仿宋" w:eastAsia="仿宋" w:cs="仿宋"/>
          <w:color w:val="000000"/>
          <w:kern w:val="0"/>
          <w:sz w:val="32"/>
          <w:szCs w:val="32"/>
          <w:lang w:val="en-US" w:eastAsia="zh-CN" w:bidi="ar"/>
        </w:rPr>
      </w:pPr>
      <w:r>
        <w:rPr>
          <w:rFonts w:hint="eastAsia" w:ascii="仿宋" w:hAnsi="仿宋" w:eastAsia="仿宋" w:cs="仿宋"/>
          <w:b/>
          <w:color w:val="auto"/>
          <w:kern w:val="0"/>
          <w:sz w:val="32"/>
          <w:szCs w:val="32"/>
          <w:lang w:val="en-US" w:eastAsia="zh-CN" w:bidi="ar"/>
        </w:rPr>
        <w:t>第三十四条【执行时间和相关规定】</w:t>
      </w:r>
      <w:r>
        <w:rPr>
          <w:rFonts w:hint="eastAsia" w:ascii="仿宋" w:hAnsi="仿宋" w:eastAsia="仿宋" w:cs="仿宋"/>
          <w:color w:val="000000"/>
          <w:kern w:val="0"/>
          <w:sz w:val="32"/>
          <w:szCs w:val="32"/>
          <w:lang w:val="en-US" w:eastAsia="zh-CN" w:bidi="ar"/>
        </w:rPr>
        <w:t>本办法自发布之日起执行。本办法实施前的规定与本办法不一致的，按照本办法执行；本办法与国家新规定不一致的，按照国家新规定执行。</w:t>
      </w:r>
    </w:p>
    <w:p>
      <w:pPr>
        <w:pStyle w:val="3"/>
        <w:widowControl/>
        <w:spacing w:before="0" w:beforeLines="0" w:beforeAutospacing="0" w:after="0" w:afterLines="0" w:afterAutospacing="0" w:line="560" w:lineRule="atLeast"/>
        <w:ind w:firstLine="640"/>
        <w:rPr>
          <w:rFonts w:hint="default"/>
          <w:sz w:val="24"/>
          <w:szCs w:val="24"/>
        </w:rPr>
      </w:pPr>
      <w:r>
        <w:rPr>
          <w:rFonts w:hint="eastAsia" w:ascii="仿宋" w:hAnsi="仿宋" w:eastAsia="仿宋" w:cs="仿宋"/>
          <w:color w:val="000000"/>
          <w:sz w:val="32"/>
          <w:szCs w:val="32"/>
        </w:rPr>
        <w:t> </w:t>
      </w:r>
      <w:bookmarkStart w:id="0" w:name="_GoBack"/>
      <w:bookmarkEnd w:id="0"/>
    </w:p>
    <w:p>
      <w:pPr>
        <w:widowControl/>
        <w:spacing w:beforeLines="0" w:afterLines="0" w:line="560" w:lineRule="atLeast"/>
        <w:ind w:right="640"/>
        <w:jc w:val="left"/>
        <w:rPr>
          <w:rFonts w:hint="eastAsia" w:ascii="黑体" w:hAnsi="宋体" w:eastAsia="黑体" w:cs="黑体"/>
          <w:color w:val="333333"/>
          <w:kern w:val="0"/>
          <w:sz w:val="32"/>
          <w:szCs w:val="32"/>
          <w:lang w:bidi="ar"/>
        </w:rPr>
      </w:pPr>
    </w:p>
    <w:p>
      <w:pPr>
        <w:widowControl/>
        <w:spacing w:beforeLines="0" w:afterLines="0" w:line="560" w:lineRule="atLeast"/>
        <w:ind w:right="640"/>
        <w:jc w:val="left"/>
        <w:rPr>
          <w:rFonts w:hint="eastAsia" w:ascii="黑体" w:hAnsi="宋体" w:eastAsia="黑体" w:cs="黑体"/>
          <w:color w:val="333333"/>
          <w:kern w:val="0"/>
          <w:sz w:val="32"/>
          <w:szCs w:val="32"/>
          <w:lang w:bidi="ar"/>
        </w:rPr>
      </w:pPr>
    </w:p>
    <w:p>
      <w:pPr>
        <w:widowControl/>
        <w:spacing w:beforeLines="0" w:afterLines="0" w:line="560" w:lineRule="atLeast"/>
        <w:ind w:right="640"/>
        <w:jc w:val="left"/>
        <w:rPr>
          <w:rFonts w:hint="eastAsia" w:ascii="黑体" w:hAnsi="宋体" w:eastAsia="黑体" w:cs="黑体"/>
          <w:color w:val="333333"/>
          <w:kern w:val="0"/>
          <w:sz w:val="32"/>
          <w:szCs w:val="32"/>
          <w:lang w:bidi="ar"/>
        </w:rPr>
      </w:pPr>
    </w:p>
    <w:p>
      <w:pPr>
        <w:widowControl/>
        <w:spacing w:beforeLines="0" w:afterLines="0" w:line="560" w:lineRule="atLeast"/>
        <w:ind w:right="640"/>
        <w:jc w:val="left"/>
        <w:rPr>
          <w:rFonts w:hint="default"/>
          <w:sz w:val="21"/>
          <w:szCs w:val="24"/>
        </w:rPr>
      </w:pPr>
      <w:r>
        <w:rPr>
          <w:rFonts w:hint="eastAsia" w:ascii="黑体" w:hAnsi="宋体" w:eastAsia="黑体" w:cs="黑体"/>
          <w:color w:val="333333"/>
          <w:kern w:val="0"/>
          <w:sz w:val="32"/>
          <w:szCs w:val="32"/>
          <w:lang w:bidi="ar"/>
        </w:rPr>
        <w:t>附件</w:t>
      </w:r>
    </w:p>
    <w:p>
      <w:pPr>
        <w:widowControl/>
        <w:spacing w:beforeLines="0" w:afterLines="0" w:line="560" w:lineRule="atLeast"/>
        <w:ind w:right="640"/>
        <w:jc w:val="center"/>
        <w:rPr>
          <w:rFonts w:hint="default"/>
          <w:sz w:val="21"/>
          <w:szCs w:val="24"/>
        </w:rPr>
      </w:pPr>
      <w:r>
        <w:rPr>
          <w:rFonts w:hint="default" w:ascii="小标宋" w:hAnsi="小标宋" w:eastAsia="小标宋" w:cs="小标宋"/>
          <w:color w:val="333333"/>
          <w:kern w:val="0"/>
          <w:sz w:val="44"/>
          <w:szCs w:val="44"/>
          <w:lang w:bidi="ar"/>
        </w:rPr>
        <w:t>自治区矿业权出让登记权限表</w:t>
      </w:r>
    </w:p>
    <w:tbl>
      <w:tblPr>
        <w:tblStyle w:val="5"/>
        <w:tblpPr w:leftFromText="180" w:rightFromText="180" w:vertAnchor="text" w:horzAnchor="page" w:tblpX="1081" w:tblpY="157"/>
        <w:tblOverlap w:val="never"/>
        <w:tblW w:w="1054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142"/>
        <w:gridCol w:w="2369"/>
        <w:gridCol w:w="60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5" w:hRule="atLeast"/>
        </w:trPr>
        <w:tc>
          <w:tcPr>
            <w:tcW w:w="2142" w:type="dxa"/>
            <w:tcBorders>
              <w:top w:val="single" w:color="auto" w:sz="8" w:space="0"/>
              <w:left w:val="single" w:color="auto" w:sz="8" w:space="0"/>
              <w:bottom w:val="single" w:color="auto" w:sz="8" w:space="0"/>
              <w:right w:val="single" w:color="auto" w:sz="8" w:space="0"/>
              <w:tl2br w:val="nil"/>
              <w:tr2bl w:val="nil"/>
            </w:tcBorders>
            <w:noWrap w:val="0"/>
            <w:tcMar>
              <w:top w:w="0" w:type="dxa"/>
              <w:left w:w="108" w:type="dxa"/>
              <w:bottom w:w="0" w:type="dxa"/>
              <w:right w:w="108" w:type="dxa"/>
            </w:tcMar>
            <w:vAlign w:val="center"/>
          </w:tcPr>
          <w:p>
            <w:pPr>
              <w:widowControl/>
              <w:spacing w:beforeLines="0" w:afterLines="0" w:line="340" w:lineRule="atLeast"/>
              <w:jc w:val="center"/>
              <w:rPr>
                <w:rFonts w:hint="default"/>
                <w:sz w:val="21"/>
                <w:szCs w:val="24"/>
              </w:rPr>
            </w:pPr>
            <w:r>
              <w:rPr>
                <w:rFonts w:hint="eastAsia" w:ascii="黑体" w:hAnsi="宋体" w:eastAsia="黑体" w:cs="黑体"/>
                <w:kern w:val="0"/>
                <w:sz w:val="30"/>
                <w:szCs w:val="30"/>
                <w:lang w:bidi="ar"/>
              </w:rPr>
              <w:t>级别</w:t>
            </w:r>
          </w:p>
        </w:tc>
        <w:tc>
          <w:tcPr>
            <w:tcW w:w="2369" w:type="dxa"/>
            <w:tcBorders>
              <w:top w:val="single" w:color="auto" w:sz="8" w:space="0"/>
              <w:left w:val="nil"/>
              <w:bottom w:val="single" w:color="auto" w:sz="8" w:space="0"/>
              <w:right w:val="single" w:color="auto" w:sz="8" w:space="0"/>
              <w:tl2br w:val="nil"/>
              <w:tr2bl w:val="nil"/>
            </w:tcBorders>
            <w:noWrap w:val="0"/>
            <w:tcMar>
              <w:top w:w="0" w:type="dxa"/>
              <w:left w:w="108" w:type="dxa"/>
              <w:bottom w:w="0" w:type="dxa"/>
              <w:right w:w="108" w:type="dxa"/>
            </w:tcMar>
            <w:vAlign w:val="center"/>
          </w:tcPr>
          <w:p>
            <w:pPr>
              <w:widowControl/>
              <w:spacing w:beforeLines="0" w:afterLines="0" w:line="340" w:lineRule="atLeast"/>
              <w:ind w:right="320"/>
              <w:jc w:val="center"/>
              <w:rPr>
                <w:rFonts w:hint="default"/>
                <w:sz w:val="21"/>
                <w:szCs w:val="24"/>
              </w:rPr>
            </w:pPr>
            <w:r>
              <w:rPr>
                <w:rFonts w:hint="eastAsia" w:ascii="黑体" w:hAnsi="宋体" w:eastAsia="黑体" w:cs="黑体"/>
                <w:kern w:val="0"/>
                <w:sz w:val="30"/>
                <w:szCs w:val="30"/>
                <w:lang w:bidi="ar"/>
              </w:rPr>
              <w:t>类别</w:t>
            </w:r>
          </w:p>
        </w:tc>
        <w:tc>
          <w:tcPr>
            <w:tcW w:w="6037" w:type="dxa"/>
            <w:tcBorders>
              <w:top w:val="single" w:color="auto" w:sz="8" w:space="0"/>
              <w:left w:val="nil"/>
              <w:bottom w:val="single" w:color="auto" w:sz="8" w:space="0"/>
              <w:right w:val="single" w:color="auto" w:sz="8" w:space="0"/>
              <w:tl2br w:val="nil"/>
              <w:tr2bl w:val="nil"/>
            </w:tcBorders>
            <w:noWrap w:val="0"/>
            <w:tcMar>
              <w:top w:w="0" w:type="dxa"/>
              <w:left w:w="108" w:type="dxa"/>
              <w:bottom w:w="0" w:type="dxa"/>
              <w:right w:w="108" w:type="dxa"/>
            </w:tcMar>
            <w:vAlign w:val="center"/>
          </w:tcPr>
          <w:p>
            <w:pPr>
              <w:widowControl/>
              <w:spacing w:beforeLines="0" w:afterLines="0" w:line="340" w:lineRule="atLeast"/>
              <w:ind w:right="640" w:firstLine="2385"/>
              <w:jc w:val="left"/>
              <w:rPr>
                <w:rFonts w:hint="default"/>
                <w:sz w:val="21"/>
                <w:szCs w:val="24"/>
              </w:rPr>
            </w:pPr>
            <w:r>
              <w:rPr>
                <w:rFonts w:hint="eastAsia" w:ascii="黑体" w:hAnsi="宋体" w:eastAsia="黑体" w:cs="黑体"/>
                <w:kern w:val="0"/>
                <w:sz w:val="30"/>
                <w:szCs w:val="30"/>
                <w:lang w:bidi="ar"/>
              </w:rPr>
              <w:t>矿种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5" w:hRule="atLeast"/>
        </w:trPr>
        <w:tc>
          <w:tcPr>
            <w:tcW w:w="2142" w:type="dxa"/>
            <w:vMerge w:val="restart"/>
            <w:tcBorders>
              <w:top w:val="nil"/>
              <w:left w:val="single" w:color="auto" w:sz="8" w:space="0"/>
              <w:bottom w:val="single" w:color="auto" w:sz="8" w:space="0"/>
              <w:right w:val="single" w:color="auto" w:sz="8" w:space="0"/>
              <w:tl2br w:val="nil"/>
              <w:tr2bl w:val="nil"/>
            </w:tcBorders>
            <w:noWrap w:val="0"/>
            <w:tcMar>
              <w:top w:w="0" w:type="dxa"/>
              <w:left w:w="108" w:type="dxa"/>
              <w:bottom w:w="0" w:type="dxa"/>
              <w:right w:w="108" w:type="dxa"/>
            </w:tcMar>
            <w:vAlign w:val="center"/>
          </w:tcPr>
          <w:p>
            <w:pPr>
              <w:widowControl/>
              <w:spacing w:beforeLines="0" w:afterLines="0" w:line="340" w:lineRule="atLeast"/>
              <w:jc w:val="center"/>
              <w:rPr>
                <w:rFonts w:hint="default"/>
                <w:sz w:val="21"/>
                <w:szCs w:val="24"/>
              </w:rPr>
            </w:pPr>
            <w:r>
              <w:rPr>
                <w:rFonts w:hint="eastAsia" w:ascii="仿宋" w:hAnsi="仿宋" w:eastAsia="仿宋" w:cs="仿宋"/>
                <w:b/>
                <w:kern w:val="0"/>
                <w:sz w:val="24"/>
                <w:szCs w:val="24"/>
                <w:lang w:bidi="ar"/>
              </w:rPr>
              <w:t>国家</w:t>
            </w:r>
          </w:p>
        </w:tc>
        <w:tc>
          <w:tcPr>
            <w:tcW w:w="2369" w:type="dxa"/>
            <w:tcBorders>
              <w:top w:val="nil"/>
              <w:left w:val="nil"/>
              <w:bottom w:val="single" w:color="auto" w:sz="8" w:space="0"/>
              <w:right w:val="single" w:color="auto" w:sz="8" w:space="0"/>
              <w:tl2br w:val="nil"/>
              <w:tr2bl w:val="nil"/>
            </w:tcBorders>
            <w:noWrap w:val="0"/>
            <w:tcMar>
              <w:top w:w="0" w:type="dxa"/>
              <w:left w:w="108" w:type="dxa"/>
              <w:bottom w:w="0" w:type="dxa"/>
              <w:right w:w="108" w:type="dxa"/>
            </w:tcMar>
            <w:vAlign w:val="center"/>
          </w:tcPr>
          <w:p>
            <w:pPr>
              <w:widowControl/>
              <w:spacing w:beforeLines="0" w:afterLines="0" w:line="340" w:lineRule="atLeast"/>
              <w:jc w:val="center"/>
              <w:rPr>
                <w:rFonts w:hint="default"/>
                <w:sz w:val="21"/>
                <w:szCs w:val="24"/>
              </w:rPr>
            </w:pPr>
            <w:r>
              <w:rPr>
                <w:rFonts w:hint="eastAsia" w:ascii="仿宋" w:hAnsi="仿宋" w:eastAsia="仿宋" w:cs="仿宋"/>
                <w:b/>
                <w:kern w:val="0"/>
                <w:sz w:val="24"/>
                <w:szCs w:val="24"/>
                <w:lang w:bidi="ar"/>
              </w:rPr>
              <w:t>能源矿产</w:t>
            </w:r>
          </w:p>
        </w:tc>
        <w:tc>
          <w:tcPr>
            <w:tcW w:w="6037" w:type="dxa"/>
            <w:tcBorders>
              <w:top w:val="nil"/>
              <w:left w:val="nil"/>
              <w:bottom w:val="single" w:color="auto" w:sz="8" w:space="0"/>
              <w:right w:val="single" w:color="auto" w:sz="8" w:space="0"/>
              <w:tl2br w:val="nil"/>
              <w:tr2bl w:val="nil"/>
            </w:tcBorders>
            <w:noWrap w:val="0"/>
            <w:tcMar>
              <w:top w:w="0" w:type="dxa"/>
              <w:left w:w="108" w:type="dxa"/>
              <w:bottom w:w="0" w:type="dxa"/>
              <w:right w:w="108" w:type="dxa"/>
            </w:tcMar>
            <w:vAlign w:val="center"/>
          </w:tcPr>
          <w:p>
            <w:pPr>
              <w:widowControl/>
              <w:spacing w:beforeLines="0" w:afterLines="0" w:line="300" w:lineRule="atLeast"/>
              <w:jc w:val="left"/>
              <w:rPr>
                <w:rFonts w:hint="default"/>
                <w:sz w:val="21"/>
                <w:szCs w:val="24"/>
              </w:rPr>
            </w:pPr>
            <w:r>
              <w:rPr>
                <w:rFonts w:hint="eastAsia" w:ascii="仿宋" w:hAnsi="仿宋" w:eastAsia="仿宋" w:cs="仿宋"/>
                <w:kern w:val="0"/>
                <w:sz w:val="24"/>
                <w:szCs w:val="24"/>
                <w:lang w:bidi="ar"/>
              </w:rPr>
              <w:t>石油、烃类天然气、页岩气、天然气水合物、放射性矿产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65" w:hRule="atLeast"/>
        </w:trPr>
        <w:tc>
          <w:tcPr>
            <w:tcW w:w="2142" w:type="dxa"/>
            <w:vMerge w:val="continue"/>
            <w:tcBorders>
              <w:top w:val="nil"/>
              <w:left w:val="single" w:color="auto" w:sz="8" w:space="0"/>
              <w:bottom w:val="single" w:color="auto" w:sz="8" w:space="0"/>
              <w:right w:val="single" w:color="auto" w:sz="8" w:space="0"/>
              <w:tl2br w:val="nil"/>
              <w:tr2bl w:val="nil"/>
            </w:tcBorders>
            <w:noWrap w:val="0"/>
            <w:tcMar>
              <w:top w:w="0" w:type="dxa"/>
              <w:left w:w="108" w:type="dxa"/>
              <w:bottom w:w="0" w:type="dxa"/>
              <w:right w:w="108" w:type="dxa"/>
            </w:tcMar>
            <w:vAlign w:val="center"/>
          </w:tcPr>
          <w:p>
            <w:pPr>
              <w:spacing w:beforeLines="0" w:afterLines="0"/>
              <w:rPr>
                <w:rFonts w:hint="eastAsia" w:ascii="宋体"/>
                <w:sz w:val="24"/>
                <w:szCs w:val="24"/>
              </w:rPr>
            </w:pPr>
          </w:p>
        </w:tc>
        <w:tc>
          <w:tcPr>
            <w:tcW w:w="2369" w:type="dxa"/>
            <w:tcBorders>
              <w:top w:val="nil"/>
              <w:left w:val="nil"/>
              <w:bottom w:val="single" w:color="auto" w:sz="8" w:space="0"/>
              <w:right w:val="single" w:color="auto" w:sz="8" w:space="0"/>
              <w:tl2br w:val="nil"/>
              <w:tr2bl w:val="nil"/>
            </w:tcBorders>
            <w:noWrap w:val="0"/>
            <w:tcMar>
              <w:top w:w="0" w:type="dxa"/>
              <w:left w:w="108" w:type="dxa"/>
              <w:bottom w:w="0" w:type="dxa"/>
              <w:right w:w="108" w:type="dxa"/>
            </w:tcMar>
            <w:vAlign w:val="center"/>
          </w:tcPr>
          <w:p>
            <w:pPr>
              <w:widowControl/>
              <w:spacing w:beforeLines="0" w:afterLines="0" w:line="340" w:lineRule="atLeast"/>
              <w:jc w:val="center"/>
              <w:rPr>
                <w:rFonts w:hint="default"/>
                <w:sz w:val="21"/>
                <w:szCs w:val="24"/>
              </w:rPr>
            </w:pPr>
            <w:r>
              <w:rPr>
                <w:rFonts w:hint="eastAsia" w:ascii="仿宋" w:hAnsi="仿宋" w:eastAsia="仿宋" w:cs="仿宋"/>
                <w:b/>
                <w:kern w:val="0"/>
                <w:sz w:val="24"/>
                <w:szCs w:val="24"/>
                <w:lang w:bidi="ar"/>
              </w:rPr>
              <w:t>金属矿产</w:t>
            </w:r>
          </w:p>
        </w:tc>
        <w:tc>
          <w:tcPr>
            <w:tcW w:w="6037" w:type="dxa"/>
            <w:tcBorders>
              <w:top w:val="nil"/>
              <w:left w:val="nil"/>
              <w:bottom w:val="single" w:color="auto" w:sz="8" w:space="0"/>
              <w:right w:val="single" w:color="auto" w:sz="8" w:space="0"/>
              <w:tl2br w:val="nil"/>
              <w:tr2bl w:val="nil"/>
            </w:tcBorders>
            <w:noWrap w:val="0"/>
            <w:tcMar>
              <w:top w:w="0" w:type="dxa"/>
              <w:left w:w="108" w:type="dxa"/>
              <w:bottom w:w="0" w:type="dxa"/>
              <w:right w:w="108" w:type="dxa"/>
            </w:tcMar>
            <w:vAlign w:val="center"/>
          </w:tcPr>
          <w:p>
            <w:pPr>
              <w:widowControl/>
              <w:spacing w:beforeLines="0" w:afterLines="0" w:line="300" w:lineRule="atLeast"/>
              <w:jc w:val="left"/>
              <w:rPr>
                <w:rFonts w:hint="default"/>
                <w:sz w:val="21"/>
                <w:szCs w:val="24"/>
              </w:rPr>
            </w:pPr>
            <w:r>
              <w:rPr>
                <w:rFonts w:hint="eastAsia" w:ascii="仿宋" w:hAnsi="仿宋" w:eastAsia="仿宋" w:cs="仿宋"/>
                <w:kern w:val="0"/>
                <w:sz w:val="24"/>
                <w:szCs w:val="24"/>
                <w:lang w:bidi="ar"/>
              </w:rPr>
              <w:t>钨、稀土（镧、铈、镨、钕、钷、钐、铕、钆、铽、镝、钬、铒、铥、镱、镥、钪、钇）、锡、锑、钼、钴、锂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2" w:hRule="atLeast"/>
        </w:trPr>
        <w:tc>
          <w:tcPr>
            <w:tcW w:w="2142" w:type="dxa"/>
            <w:vMerge w:val="continue"/>
            <w:tcBorders>
              <w:top w:val="nil"/>
              <w:left w:val="single" w:color="auto" w:sz="8" w:space="0"/>
              <w:bottom w:val="single" w:color="auto" w:sz="8" w:space="0"/>
              <w:right w:val="single" w:color="auto" w:sz="8" w:space="0"/>
              <w:tl2br w:val="nil"/>
              <w:tr2bl w:val="nil"/>
            </w:tcBorders>
            <w:noWrap w:val="0"/>
            <w:tcMar>
              <w:top w:w="0" w:type="dxa"/>
              <w:left w:w="108" w:type="dxa"/>
              <w:bottom w:w="0" w:type="dxa"/>
              <w:right w:w="108" w:type="dxa"/>
            </w:tcMar>
            <w:vAlign w:val="center"/>
          </w:tcPr>
          <w:p>
            <w:pPr>
              <w:spacing w:beforeLines="0" w:afterLines="0"/>
              <w:rPr>
                <w:rFonts w:hint="eastAsia" w:ascii="宋体"/>
                <w:sz w:val="24"/>
                <w:szCs w:val="24"/>
              </w:rPr>
            </w:pPr>
          </w:p>
        </w:tc>
        <w:tc>
          <w:tcPr>
            <w:tcW w:w="2369" w:type="dxa"/>
            <w:tcBorders>
              <w:top w:val="nil"/>
              <w:left w:val="nil"/>
              <w:bottom w:val="single" w:color="auto" w:sz="8" w:space="0"/>
              <w:right w:val="single" w:color="auto" w:sz="8" w:space="0"/>
              <w:tl2br w:val="nil"/>
              <w:tr2bl w:val="nil"/>
            </w:tcBorders>
            <w:noWrap w:val="0"/>
            <w:tcMar>
              <w:top w:w="0" w:type="dxa"/>
              <w:left w:w="108" w:type="dxa"/>
              <w:bottom w:w="0" w:type="dxa"/>
              <w:right w:w="108" w:type="dxa"/>
            </w:tcMar>
            <w:vAlign w:val="center"/>
          </w:tcPr>
          <w:p>
            <w:pPr>
              <w:widowControl/>
              <w:spacing w:beforeLines="0" w:afterLines="0" w:line="340" w:lineRule="atLeast"/>
              <w:jc w:val="center"/>
              <w:rPr>
                <w:rFonts w:hint="default"/>
                <w:sz w:val="21"/>
                <w:szCs w:val="24"/>
              </w:rPr>
            </w:pPr>
            <w:r>
              <w:rPr>
                <w:rFonts w:hint="eastAsia" w:ascii="仿宋" w:hAnsi="仿宋" w:eastAsia="仿宋" w:cs="仿宋"/>
                <w:b/>
                <w:kern w:val="0"/>
                <w:sz w:val="24"/>
                <w:szCs w:val="24"/>
                <w:lang w:bidi="ar"/>
              </w:rPr>
              <w:t>非金属</w:t>
            </w:r>
          </w:p>
        </w:tc>
        <w:tc>
          <w:tcPr>
            <w:tcW w:w="6037" w:type="dxa"/>
            <w:tcBorders>
              <w:top w:val="nil"/>
              <w:left w:val="nil"/>
              <w:bottom w:val="single" w:color="auto" w:sz="8" w:space="0"/>
              <w:right w:val="single" w:color="auto" w:sz="8" w:space="0"/>
              <w:tl2br w:val="nil"/>
              <w:tr2bl w:val="nil"/>
            </w:tcBorders>
            <w:noWrap w:val="0"/>
            <w:tcMar>
              <w:top w:w="0" w:type="dxa"/>
              <w:left w:w="108" w:type="dxa"/>
              <w:bottom w:w="0" w:type="dxa"/>
              <w:right w:w="108" w:type="dxa"/>
            </w:tcMar>
            <w:vAlign w:val="center"/>
          </w:tcPr>
          <w:p>
            <w:pPr>
              <w:widowControl/>
              <w:spacing w:beforeLines="0" w:afterLines="0" w:line="300" w:lineRule="atLeast"/>
              <w:jc w:val="left"/>
              <w:rPr>
                <w:rFonts w:hint="default"/>
                <w:sz w:val="21"/>
                <w:szCs w:val="24"/>
              </w:rPr>
            </w:pPr>
            <w:r>
              <w:rPr>
                <w:rFonts w:hint="eastAsia" w:ascii="仿宋" w:hAnsi="仿宋" w:eastAsia="仿宋" w:cs="仿宋"/>
                <w:kern w:val="0"/>
                <w:sz w:val="24"/>
                <w:szCs w:val="24"/>
                <w:lang w:bidi="ar"/>
              </w:rPr>
              <w:t>钾盐、晶质石墨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5" w:hRule="atLeast"/>
        </w:trPr>
        <w:tc>
          <w:tcPr>
            <w:tcW w:w="2142" w:type="dxa"/>
            <w:vMerge w:val="restart"/>
            <w:tcBorders>
              <w:top w:val="nil"/>
              <w:left w:val="single" w:color="auto" w:sz="8" w:space="0"/>
              <w:bottom w:val="single" w:color="auto" w:sz="8" w:space="0"/>
              <w:right w:val="single" w:color="auto" w:sz="8" w:space="0"/>
              <w:tl2br w:val="nil"/>
              <w:tr2bl w:val="nil"/>
            </w:tcBorders>
            <w:noWrap w:val="0"/>
            <w:tcMar>
              <w:top w:w="0" w:type="dxa"/>
              <w:left w:w="108" w:type="dxa"/>
              <w:bottom w:w="0" w:type="dxa"/>
              <w:right w:w="108" w:type="dxa"/>
            </w:tcMar>
            <w:vAlign w:val="center"/>
          </w:tcPr>
          <w:p>
            <w:pPr>
              <w:widowControl/>
              <w:spacing w:beforeLines="0" w:afterLines="0" w:line="340" w:lineRule="atLeast"/>
              <w:jc w:val="center"/>
              <w:rPr>
                <w:rFonts w:hint="default"/>
                <w:sz w:val="21"/>
                <w:szCs w:val="24"/>
              </w:rPr>
            </w:pPr>
            <w:r>
              <w:rPr>
                <w:rFonts w:hint="eastAsia" w:ascii="仿宋" w:hAnsi="仿宋" w:eastAsia="仿宋" w:cs="仿宋"/>
                <w:b/>
                <w:kern w:val="0"/>
                <w:sz w:val="24"/>
                <w:szCs w:val="24"/>
                <w:lang w:bidi="ar"/>
              </w:rPr>
              <w:t>自治区</w:t>
            </w:r>
          </w:p>
        </w:tc>
        <w:tc>
          <w:tcPr>
            <w:tcW w:w="2369" w:type="dxa"/>
            <w:tcBorders>
              <w:top w:val="nil"/>
              <w:left w:val="nil"/>
              <w:bottom w:val="single" w:color="auto" w:sz="8" w:space="0"/>
              <w:right w:val="single" w:color="auto" w:sz="8" w:space="0"/>
              <w:tl2br w:val="nil"/>
              <w:tr2bl w:val="nil"/>
            </w:tcBorders>
            <w:noWrap w:val="0"/>
            <w:tcMar>
              <w:top w:w="0" w:type="dxa"/>
              <w:left w:w="108" w:type="dxa"/>
              <w:bottom w:w="0" w:type="dxa"/>
              <w:right w:w="108" w:type="dxa"/>
            </w:tcMar>
            <w:vAlign w:val="center"/>
          </w:tcPr>
          <w:p>
            <w:pPr>
              <w:widowControl/>
              <w:spacing w:beforeLines="0" w:afterLines="0" w:line="340" w:lineRule="atLeast"/>
              <w:jc w:val="center"/>
              <w:rPr>
                <w:rFonts w:hint="default"/>
                <w:sz w:val="21"/>
                <w:szCs w:val="24"/>
              </w:rPr>
            </w:pPr>
            <w:r>
              <w:rPr>
                <w:rFonts w:hint="eastAsia" w:ascii="仿宋" w:hAnsi="仿宋" w:eastAsia="仿宋" w:cs="仿宋"/>
                <w:b/>
                <w:kern w:val="0"/>
                <w:sz w:val="24"/>
                <w:szCs w:val="24"/>
                <w:lang w:bidi="ar"/>
              </w:rPr>
              <w:t>能源矿产</w:t>
            </w:r>
          </w:p>
        </w:tc>
        <w:tc>
          <w:tcPr>
            <w:tcW w:w="6037" w:type="dxa"/>
            <w:tcBorders>
              <w:top w:val="nil"/>
              <w:left w:val="nil"/>
              <w:bottom w:val="single" w:color="auto" w:sz="8" w:space="0"/>
              <w:right w:val="single" w:color="auto" w:sz="8" w:space="0"/>
              <w:tl2br w:val="nil"/>
              <w:tr2bl w:val="nil"/>
            </w:tcBorders>
            <w:noWrap w:val="0"/>
            <w:tcMar>
              <w:top w:w="0" w:type="dxa"/>
              <w:left w:w="108" w:type="dxa"/>
              <w:bottom w:w="0" w:type="dxa"/>
              <w:right w:w="108" w:type="dxa"/>
            </w:tcMar>
            <w:vAlign w:val="center"/>
          </w:tcPr>
          <w:p>
            <w:pPr>
              <w:widowControl/>
              <w:spacing w:beforeLines="0" w:afterLines="0" w:line="300" w:lineRule="atLeast"/>
              <w:jc w:val="left"/>
              <w:rPr>
                <w:rFonts w:hint="default"/>
                <w:sz w:val="21"/>
                <w:szCs w:val="24"/>
              </w:rPr>
            </w:pPr>
            <w:r>
              <w:rPr>
                <w:rFonts w:hint="eastAsia" w:ascii="仿宋" w:hAnsi="仿宋" w:eastAsia="仿宋" w:cs="仿宋"/>
                <w:kern w:val="0"/>
                <w:sz w:val="24"/>
                <w:szCs w:val="24"/>
                <w:lang w:bidi="ar"/>
              </w:rPr>
              <w:t>煤、煤层气、石煤、油页岩、油砂、天然沥青、地热（干热岩）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853" w:hRule="atLeast"/>
        </w:trPr>
        <w:tc>
          <w:tcPr>
            <w:tcW w:w="2142" w:type="dxa"/>
            <w:vMerge w:val="continue"/>
            <w:tcBorders>
              <w:top w:val="nil"/>
              <w:left w:val="single" w:color="auto" w:sz="8" w:space="0"/>
              <w:bottom w:val="single" w:color="auto" w:sz="8" w:space="0"/>
              <w:right w:val="single" w:color="auto" w:sz="8" w:space="0"/>
              <w:tl2br w:val="nil"/>
              <w:tr2bl w:val="nil"/>
            </w:tcBorders>
            <w:noWrap w:val="0"/>
            <w:tcMar>
              <w:top w:w="0" w:type="dxa"/>
              <w:left w:w="108" w:type="dxa"/>
              <w:bottom w:w="0" w:type="dxa"/>
              <w:right w:w="108" w:type="dxa"/>
            </w:tcMar>
            <w:vAlign w:val="center"/>
          </w:tcPr>
          <w:p>
            <w:pPr>
              <w:spacing w:beforeLines="0" w:afterLines="0"/>
              <w:rPr>
                <w:rFonts w:hint="eastAsia" w:ascii="宋体"/>
                <w:sz w:val="24"/>
                <w:szCs w:val="24"/>
              </w:rPr>
            </w:pPr>
          </w:p>
        </w:tc>
        <w:tc>
          <w:tcPr>
            <w:tcW w:w="2369" w:type="dxa"/>
            <w:tcBorders>
              <w:top w:val="nil"/>
              <w:left w:val="nil"/>
              <w:bottom w:val="single" w:color="auto" w:sz="8" w:space="0"/>
              <w:right w:val="single" w:color="auto" w:sz="8" w:space="0"/>
              <w:tl2br w:val="nil"/>
              <w:tr2bl w:val="nil"/>
            </w:tcBorders>
            <w:noWrap w:val="0"/>
            <w:tcMar>
              <w:top w:w="0" w:type="dxa"/>
              <w:left w:w="108" w:type="dxa"/>
              <w:bottom w:w="0" w:type="dxa"/>
              <w:right w:w="108" w:type="dxa"/>
            </w:tcMar>
            <w:vAlign w:val="center"/>
          </w:tcPr>
          <w:p>
            <w:pPr>
              <w:widowControl/>
              <w:spacing w:beforeLines="0" w:afterLines="0" w:line="340" w:lineRule="atLeast"/>
              <w:jc w:val="center"/>
              <w:rPr>
                <w:rFonts w:hint="default"/>
                <w:sz w:val="21"/>
                <w:szCs w:val="24"/>
              </w:rPr>
            </w:pPr>
            <w:r>
              <w:rPr>
                <w:rFonts w:hint="eastAsia" w:ascii="仿宋" w:hAnsi="仿宋" w:eastAsia="仿宋" w:cs="仿宋"/>
                <w:b/>
                <w:kern w:val="0"/>
                <w:sz w:val="24"/>
                <w:szCs w:val="24"/>
                <w:lang w:bidi="ar"/>
              </w:rPr>
              <w:t>金属矿产</w:t>
            </w:r>
          </w:p>
        </w:tc>
        <w:tc>
          <w:tcPr>
            <w:tcW w:w="6037" w:type="dxa"/>
            <w:tcBorders>
              <w:top w:val="nil"/>
              <w:left w:val="nil"/>
              <w:bottom w:val="single" w:color="auto" w:sz="8" w:space="0"/>
              <w:right w:val="single" w:color="auto" w:sz="8" w:space="0"/>
              <w:tl2br w:val="nil"/>
              <w:tr2bl w:val="nil"/>
            </w:tcBorders>
            <w:noWrap w:val="0"/>
            <w:tcMar>
              <w:top w:w="0" w:type="dxa"/>
              <w:left w:w="108" w:type="dxa"/>
              <w:bottom w:w="0" w:type="dxa"/>
              <w:right w:w="108" w:type="dxa"/>
            </w:tcMar>
            <w:vAlign w:val="center"/>
          </w:tcPr>
          <w:p>
            <w:pPr>
              <w:widowControl/>
              <w:spacing w:beforeLines="0" w:afterLines="0" w:line="300" w:lineRule="atLeast"/>
              <w:jc w:val="left"/>
              <w:rPr>
                <w:rFonts w:hint="default"/>
                <w:sz w:val="21"/>
                <w:szCs w:val="24"/>
              </w:rPr>
            </w:pPr>
            <w:r>
              <w:rPr>
                <w:rFonts w:hint="eastAsia" w:ascii="仿宋" w:hAnsi="仿宋" w:eastAsia="仿宋" w:cs="仿宋"/>
                <w:kern w:val="0"/>
                <w:sz w:val="24"/>
                <w:szCs w:val="24"/>
                <w:lang w:bidi="ar"/>
              </w:rPr>
              <w:t>铁、锰、铬、钒、钛、铜、铅、锌、铝土矿、镍、铋、汞、镁、铂、钯、钌、锇、铱、铑、金、砂金、银、铌、钽、铍、锆、锶、铷、铯、锗、镓、铟、铊、铪、铼、镉、硒、碲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453" w:hRule="atLeast"/>
        </w:trPr>
        <w:tc>
          <w:tcPr>
            <w:tcW w:w="2142" w:type="dxa"/>
            <w:vMerge w:val="continue"/>
            <w:tcBorders>
              <w:top w:val="nil"/>
              <w:left w:val="single" w:color="auto" w:sz="8" w:space="0"/>
              <w:bottom w:val="single" w:color="auto" w:sz="8" w:space="0"/>
              <w:right w:val="single" w:color="auto" w:sz="8" w:space="0"/>
              <w:tl2br w:val="nil"/>
              <w:tr2bl w:val="nil"/>
            </w:tcBorders>
            <w:noWrap w:val="0"/>
            <w:tcMar>
              <w:top w:w="0" w:type="dxa"/>
              <w:left w:w="108" w:type="dxa"/>
              <w:bottom w:w="0" w:type="dxa"/>
              <w:right w:w="108" w:type="dxa"/>
            </w:tcMar>
            <w:vAlign w:val="center"/>
          </w:tcPr>
          <w:p>
            <w:pPr>
              <w:spacing w:beforeLines="0" w:afterLines="0"/>
              <w:rPr>
                <w:rFonts w:hint="eastAsia" w:ascii="宋体"/>
                <w:sz w:val="24"/>
                <w:szCs w:val="24"/>
              </w:rPr>
            </w:pPr>
          </w:p>
        </w:tc>
        <w:tc>
          <w:tcPr>
            <w:tcW w:w="2369" w:type="dxa"/>
            <w:tcBorders>
              <w:top w:val="nil"/>
              <w:left w:val="nil"/>
              <w:bottom w:val="single" w:color="auto" w:sz="8" w:space="0"/>
              <w:right w:val="single" w:color="auto" w:sz="8" w:space="0"/>
              <w:tl2br w:val="nil"/>
              <w:tr2bl w:val="nil"/>
            </w:tcBorders>
            <w:noWrap w:val="0"/>
            <w:tcMar>
              <w:top w:w="0" w:type="dxa"/>
              <w:left w:w="108" w:type="dxa"/>
              <w:bottom w:w="0" w:type="dxa"/>
              <w:right w:w="108" w:type="dxa"/>
            </w:tcMar>
            <w:vAlign w:val="center"/>
          </w:tcPr>
          <w:p>
            <w:pPr>
              <w:widowControl/>
              <w:spacing w:beforeLines="0" w:afterLines="0" w:line="340" w:lineRule="atLeast"/>
              <w:jc w:val="center"/>
              <w:rPr>
                <w:rFonts w:hint="default"/>
                <w:sz w:val="21"/>
                <w:szCs w:val="24"/>
              </w:rPr>
            </w:pPr>
            <w:r>
              <w:rPr>
                <w:rFonts w:hint="eastAsia" w:ascii="仿宋" w:hAnsi="仿宋" w:eastAsia="仿宋" w:cs="仿宋"/>
                <w:b/>
                <w:kern w:val="0"/>
                <w:sz w:val="24"/>
                <w:szCs w:val="24"/>
                <w:lang w:bidi="ar"/>
              </w:rPr>
              <w:t>非金属矿产</w:t>
            </w:r>
          </w:p>
        </w:tc>
        <w:tc>
          <w:tcPr>
            <w:tcW w:w="6037" w:type="dxa"/>
            <w:tcBorders>
              <w:top w:val="nil"/>
              <w:left w:val="nil"/>
              <w:bottom w:val="single" w:color="auto" w:sz="8" w:space="0"/>
              <w:right w:val="single" w:color="auto" w:sz="8" w:space="0"/>
              <w:tl2br w:val="nil"/>
              <w:tr2bl w:val="nil"/>
            </w:tcBorders>
            <w:noWrap w:val="0"/>
            <w:tcMar>
              <w:top w:w="0" w:type="dxa"/>
              <w:left w:w="108" w:type="dxa"/>
              <w:bottom w:w="0" w:type="dxa"/>
              <w:right w:w="108" w:type="dxa"/>
            </w:tcMar>
            <w:vAlign w:val="center"/>
          </w:tcPr>
          <w:p>
            <w:pPr>
              <w:widowControl/>
              <w:spacing w:beforeLines="0" w:afterLines="0" w:line="300" w:lineRule="atLeast"/>
              <w:jc w:val="left"/>
              <w:rPr>
                <w:rFonts w:hint="default"/>
                <w:sz w:val="21"/>
                <w:szCs w:val="24"/>
              </w:rPr>
            </w:pPr>
            <w:r>
              <w:rPr>
                <w:rFonts w:hint="eastAsia" w:ascii="仿宋" w:hAnsi="仿宋" w:eastAsia="仿宋" w:cs="仿宋"/>
                <w:kern w:val="0"/>
                <w:sz w:val="24"/>
                <w:szCs w:val="24"/>
                <w:lang w:bidi="ar"/>
              </w:rPr>
              <w:t>金刚石、自然硫、硫铁矿、蓝晶石、石棉、蓝石棉、蛭石、沸石、萤石、磷、硼、水晶、刚玉、硅线石、红柱石、钠硝石、云母、透辉石、透闪石、明矾石、芒硝（含钙芒硝）、毒重石、天然碱、黄玉、电气石、玛瑙、颜料矿物、白垩、含钾岩石、天然油石、含钾砂页岩、硅藻土、高岭土、霞石正长岩、火山岩、火山渣、泥炭、矿盐（湖盐、岩盐、天然卤水）、镁盐、碘、溴、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6" w:hRule="atLeast"/>
        </w:trPr>
        <w:tc>
          <w:tcPr>
            <w:tcW w:w="2142" w:type="dxa"/>
            <w:vMerge w:val="continue"/>
            <w:tcBorders>
              <w:top w:val="nil"/>
              <w:left w:val="single" w:color="auto" w:sz="8" w:space="0"/>
              <w:bottom w:val="single" w:color="auto" w:sz="8" w:space="0"/>
              <w:right w:val="single" w:color="auto" w:sz="8" w:space="0"/>
              <w:tl2br w:val="nil"/>
              <w:tr2bl w:val="nil"/>
            </w:tcBorders>
            <w:noWrap w:val="0"/>
            <w:tcMar>
              <w:top w:w="0" w:type="dxa"/>
              <w:left w:w="108" w:type="dxa"/>
              <w:bottom w:w="0" w:type="dxa"/>
              <w:right w:w="108" w:type="dxa"/>
            </w:tcMar>
            <w:vAlign w:val="center"/>
          </w:tcPr>
          <w:p>
            <w:pPr>
              <w:spacing w:beforeLines="0" w:afterLines="0"/>
              <w:rPr>
                <w:rFonts w:hint="eastAsia" w:ascii="宋体"/>
                <w:sz w:val="24"/>
                <w:szCs w:val="24"/>
              </w:rPr>
            </w:pPr>
          </w:p>
        </w:tc>
        <w:tc>
          <w:tcPr>
            <w:tcW w:w="2369" w:type="dxa"/>
            <w:tcBorders>
              <w:top w:val="nil"/>
              <w:left w:val="nil"/>
              <w:bottom w:val="single" w:color="auto" w:sz="8" w:space="0"/>
              <w:right w:val="single" w:color="auto" w:sz="8" w:space="0"/>
              <w:tl2br w:val="nil"/>
              <w:tr2bl w:val="nil"/>
            </w:tcBorders>
            <w:noWrap w:val="0"/>
            <w:tcMar>
              <w:top w:w="0" w:type="dxa"/>
              <w:left w:w="108" w:type="dxa"/>
              <w:bottom w:w="0" w:type="dxa"/>
              <w:right w:w="108" w:type="dxa"/>
            </w:tcMar>
            <w:vAlign w:val="center"/>
          </w:tcPr>
          <w:p>
            <w:pPr>
              <w:widowControl/>
              <w:spacing w:beforeLines="0" w:afterLines="0" w:line="340" w:lineRule="atLeast"/>
              <w:jc w:val="center"/>
              <w:rPr>
                <w:rFonts w:hint="default"/>
                <w:sz w:val="21"/>
                <w:szCs w:val="24"/>
              </w:rPr>
            </w:pPr>
            <w:r>
              <w:rPr>
                <w:rFonts w:hint="eastAsia" w:ascii="仿宋" w:hAnsi="仿宋" w:eastAsia="仿宋" w:cs="仿宋"/>
                <w:b/>
                <w:kern w:val="0"/>
                <w:sz w:val="24"/>
                <w:szCs w:val="24"/>
                <w:lang w:bidi="ar"/>
              </w:rPr>
              <w:t>水气矿产</w:t>
            </w:r>
          </w:p>
        </w:tc>
        <w:tc>
          <w:tcPr>
            <w:tcW w:w="6037" w:type="dxa"/>
            <w:tcBorders>
              <w:top w:val="nil"/>
              <w:left w:val="nil"/>
              <w:bottom w:val="single" w:color="auto" w:sz="8" w:space="0"/>
              <w:right w:val="single" w:color="auto" w:sz="8" w:space="0"/>
              <w:tl2br w:val="nil"/>
              <w:tr2bl w:val="nil"/>
            </w:tcBorders>
            <w:noWrap w:val="0"/>
            <w:tcMar>
              <w:top w:w="0" w:type="dxa"/>
              <w:left w:w="108" w:type="dxa"/>
              <w:bottom w:w="0" w:type="dxa"/>
              <w:right w:w="108" w:type="dxa"/>
            </w:tcMar>
            <w:vAlign w:val="center"/>
          </w:tcPr>
          <w:p>
            <w:pPr>
              <w:widowControl/>
              <w:spacing w:beforeLines="0" w:afterLines="0" w:line="300" w:lineRule="atLeast"/>
              <w:jc w:val="left"/>
              <w:rPr>
                <w:rFonts w:hint="default"/>
                <w:sz w:val="21"/>
                <w:szCs w:val="24"/>
              </w:rPr>
            </w:pPr>
            <w:r>
              <w:rPr>
                <w:rFonts w:hint="eastAsia" w:ascii="仿宋" w:hAnsi="仿宋" w:eastAsia="仿宋" w:cs="仿宋"/>
                <w:kern w:val="0"/>
                <w:sz w:val="24"/>
                <w:szCs w:val="24"/>
                <w:lang w:bidi="ar"/>
              </w:rPr>
              <w:t>地下水（勘查）、矿泉水、二氧化碳气、硫化氢气、氦气、氡气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933" w:hRule="atLeast"/>
        </w:trPr>
        <w:tc>
          <w:tcPr>
            <w:tcW w:w="2142" w:type="dxa"/>
            <w:tcBorders>
              <w:top w:val="nil"/>
              <w:left w:val="single" w:color="auto" w:sz="8" w:space="0"/>
              <w:bottom w:val="single" w:color="auto" w:sz="8" w:space="0"/>
              <w:right w:val="single" w:color="auto" w:sz="8" w:space="0"/>
              <w:tl2br w:val="nil"/>
              <w:tr2bl w:val="nil"/>
            </w:tcBorders>
            <w:noWrap w:val="0"/>
            <w:tcMar>
              <w:top w:w="0" w:type="dxa"/>
              <w:left w:w="108" w:type="dxa"/>
              <w:bottom w:w="0" w:type="dxa"/>
              <w:right w:w="108" w:type="dxa"/>
            </w:tcMar>
            <w:vAlign w:val="center"/>
          </w:tcPr>
          <w:p>
            <w:pPr>
              <w:widowControl/>
              <w:spacing w:beforeLines="0" w:afterLines="0" w:line="340" w:lineRule="atLeast"/>
              <w:jc w:val="center"/>
              <w:rPr>
                <w:rFonts w:hint="default"/>
                <w:sz w:val="21"/>
                <w:szCs w:val="24"/>
              </w:rPr>
            </w:pPr>
            <w:r>
              <w:rPr>
                <w:rFonts w:hint="eastAsia" w:ascii="仿宋" w:hAnsi="仿宋" w:eastAsia="仿宋" w:cs="仿宋"/>
                <w:b/>
                <w:kern w:val="0"/>
                <w:sz w:val="24"/>
                <w:szCs w:val="24"/>
                <w:lang w:bidi="ar"/>
              </w:rPr>
              <w:t>地、州、市</w:t>
            </w:r>
          </w:p>
        </w:tc>
        <w:tc>
          <w:tcPr>
            <w:tcW w:w="2369" w:type="dxa"/>
            <w:tcBorders>
              <w:top w:val="nil"/>
              <w:left w:val="nil"/>
              <w:bottom w:val="single" w:color="auto" w:sz="8" w:space="0"/>
              <w:right w:val="single" w:color="auto" w:sz="8" w:space="0"/>
              <w:tl2br w:val="nil"/>
              <w:tr2bl w:val="nil"/>
            </w:tcBorders>
            <w:noWrap w:val="0"/>
            <w:tcMar>
              <w:top w:w="0" w:type="dxa"/>
              <w:left w:w="108" w:type="dxa"/>
              <w:bottom w:w="0" w:type="dxa"/>
              <w:right w:w="108" w:type="dxa"/>
            </w:tcMar>
            <w:vAlign w:val="center"/>
          </w:tcPr>
          <w:p>
            <w:pPr>
              <w:widowControl/>
              <w:spacing w:beforeLines="0" w:afterLines="0" w:line="340" w:lineRule="atLeast"/>
              <w:jc w:val="center"/>
              <w:rPr>
                <w:rFonts w:hint="default"/>
                <w:sz w:val="21"/>
                <w:szCs w:val="24"/>
              </w:rPr>
            </w:pPr>
            <w:r>
              <w:rPr>
                <w:rFonts w:hint="eastAsia" w:ascii="仿宋" w:hAnsi="仿宋" w:eastAsia="仿宋" w:cs="仿宋"/>
                <w:b/>
                <w:kern w:val="0"/>
                <w:sz w:val="24"/>
                <w:szCs w:val="24"/>
                <w:lang w:bidi="ar"/>
              </w:rPr>
              <w:t>非金属矿产</w:t>
            </w:r>
          </w:p>
        </w:tc>
        <w:tc>
          <w:tcPr>
            <w:tcW w:w="6037" w:type="dxa"/>
            <w:tcBorders>
              <w:top w:val="nil"/>
              <w:left w:val="nil"/>
              <w:bottom w:val="single" w:color="auto" w:sz="8" w:space="0"/>
              <w:right w:val="single" w:color="auto" w:sz="8" w:space="0"/>
              <w:tl2br w:val="nil"/>
              <w:tr2bl w:val="nil"/>
            </w:tcBorders>
            <w:noWrap w:val="0"/>
            <w:tcMar>
              <w:top w:w="0" w:type="dxa"/>
              <w:left w:w="108" w:type="dxa"/>
              <w:bottom w:w="0" w:type="dxa"/>
              <w:right w:w="108" w:type="dxa"/>
            </w:tcMar>
            <w:vAlign w:val="center"/>
          </w:tcPr>
          <w:p>
            <w:pPr>
              <w:widowControl/>
              <w:spacing w:beforeLines="0" w:afterLines="0" w:line="340" w:lineRule="atLeast"/>
              <w:ind w:right="-73"/>
              <w:jc w:val="left"/>
              <w:rPr>
                <w:rFonts w:hint="default"/>
                <w:sz w:val="21"/>
                <w:szCs w:val="24"/>
              </w:rPr>
            </w:pPr>
            <w:r>
              <w:rPr>
                <w:rFonts w:hint="eastAsia" w:ascii="仿宋" w:hAnsi="仿宋" w:eastAsia="仿宋" w:cs="仿宋"/>
                <w:kern w:val="0"/>
                <w:sz w:val="24"/>
                <w:szCs w:val="24"/>
                <w:lang w:bidi="ar"/>
              </w:rPr>
              <w:t>宝石、玉石、石榴子石、重晶石、方解石、冰洲石、硅灰石、滑石、长石、叶腊石、石膏（含硬石膏）、石灰岩、泥灰岩、白云岩、菱镁矿、石英岩、砂岩、天然石英砂、脉石英、粉石英、页岩、陶瓷土、耐火粘土、凹凸棒石粘土、海泡石粘土、伊利石粘土、累托石粘土、橄榄岩、蛇纹岩、玄武岩、辉绿岩、安山岩、闪长岩、花岗岩、麦饭石、珍珠岩、黑曜岩、松脂岩、浮石、粗面岩、凝灰岩、大理岩、板岩、片麻岩、角闪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2142" w:type="dxa"/>
            <w:tcBorders>
              <w:top w:val="nil"/>
              <w:left w:val="single" w:color="auto" w:sz="8" w:space="0"/>
              <w:bottom w:val="single" w:color="auto" w:sz="8" w:space="0"/>
              <w:right w:val="single" w:color="auto" w:sz="8" w:space="0"/>
              <w:tl2br w:val="nil"/>
              <w:tr2bl w:val="nil"/>
            </w:tcBorders>
            <w:noWrap w:val="0"/>
            <w:tcMar>
              <w:top w:w="0" w:type="dxa"/>
              <w:left w:w="108" w:type="dxa"/>
              <w:bottom w:w="0" w:type="dxa"/>
              <w:right w:w="108" w:type="dxa"/>
            </w:tcMar>
            <w:vAlign w:val="center"/>
          </w:tcPr>
          <w:p>
            <w:pPr>
              <w:widowControl/>
              <w:spacing w:beforeLines="0" w:afterLines="0" w:line="340" w:lineRule="atLeast"/>
              <w:jc w:val="center"/>
              <w:rPr>
                <w:rFonts w:hint="default"/>
                <w:sz w:val="21"/>
                <w:szCs w:val="24"/>
              </w:rPr>
            </w:pPr>
            <w:r>
              <w:rPr>
                <w:rFonts w:hint="eastAsia" w:ascii="仿宋" w:hAnsi="仿宋" w:eastAsia="仿宋" w:cs="仿宋"/>
                <w:b/>
                <w:kern w:val="0"/>
                <w:sz w:val="24"/>
                <w:szCs w:val="24"/>
                <w:lang w:bidi="ar"/>
              </w:rPr>
              <w:t>县、市</w:t>
            </w:r>
          </w:p>
        </w:tc>
        <w:tc>
          <w:tcPr>
            <w:tcW w:w="2369" w:type="dxa"/>
            <w:tcBorders>
              <w:top w:val="nil"/>
              <w:left w:val="nil"/>
              <w:bottom w:val="single" w:color="auto" w:sz="8" w:space="0"/>
              <w:right w:val="single" w:color="auto" w:sz="8" w:space="0"/>
              <w:tl2br w:val="nil"/>
              <w:tr2bl w:val="nil"/>
            </w:tcBorders>
            <w:noWrap w:val="0"/>
            <w:tcMar>
              <w:top w:w="0" w:type="dxa"/>
              <w:left w:w="108" w:type="dxa"/>
              <w:bottom w:w="0" w:type="dxa"/>
              <w:right w:w="108" w:type="dxa"/>
            </w:tcMar>
            <w:vAlign w:val="center"/>
          </w:tcPr>
          <w:p>
            <w:pPr>
              <w:widowControl/>
              <w:spacing w:beforeLines="0" w:afterLines="0" w:line="340" w:lineRule="atLeast"/>
              <w:jc w:val="center"/>
              <w:rPr>
                <w:rFonts w:hint="default"/>
                <w:sz w:val="21"/>
                <w:szCs w:val="24"/>
              </w:rPr>
            </w:pPr>
            <w:r>
              <w:rPr>
                <w:rFonts w:hint="eastAsia" w:ascii="仿宋" w:hAnsi="仿宋" w:eastAsia="仿宋" w:cs="仿宋"/>
                <w:b/>
                <w:kern w:val="0"/>
                <w:sz w:val="24"/>
                <w:szCs w:val="24"/>
                <w:lang w:bidi="ar"/>
              </w:rPr>
              <w:t>非金属矿产</w:t>
            </w:r>
          </w:p>
        </w:tc>
        <w:tc>
          <w:tcPr>
            <w:tcW w:w="6037" w:type="dxa"/>
            <w:tcBorders>
              <w:top w:val="nil"/>
              <w:left w:val="nil"/>
              <w:bottom w:val="single" w:color="auto" w:sz="8" w:space="0"/>
              <w:right w:val="single" w:color="auto" w:sz="8" w:space="0"/>
              <w:tl2br w:val="nil"/>
              <w:tr2bl w:val="nil"/>
            </w:tcBorders>
            <w:noWrap w:val="0"/>
            <w:tcMar>
              <w:top w:w="0" w:type="dxa"/>
              <w:left w:w="108" w:type="dxa"/>
              <w:bottom w:w="0" w:type="dxa"/>
              <w:right w:w="108" w:type="dxa"/>
            </w:tcMar>
            <w:vAlign w:val="center"/>
          </w:tcPr>
          <w:p>
            <w:pPr>
              <w:widowControl/>
              <w:spacing w:beforeLines="0" w:afterLines="0" w:line="340" w:lineRule="atLeast"/>
              <w:ind w:right="640"/>
              <w:jc w:val="left"/>
              <w:rPr>
                <w:rFonts w:hint="default"/>
                <w:sz w:val="21"/>
                <w:szCs w:val="24"/>
              </w:rPr>
            </w:pPr>
            <w:r>
              <w:rPr>
                <w:rFonts w:hint="eastAsia" w:ascii="仿宋" w:hAnsi="仿宋" w:eastAsia="仿宋" w:cs="仿宋"/>
                <w:kern w:val="0"/>
                <w:sz w:val="24"/>
                <w:szCs w:val="24"/>
                <w:lang w:bidi="ar"/>
              </w:rPr>
              <w:t>砖瓦用粘土、建筑用砂（河道管理范围外）</w:t>
            </w:r>
          </w:p>
        </w:tc>
      </w:tr>
    </w:tbl>
    <w:p>
      <w:pPr>
        <w:widowControl/>
        <w:spacing w:beforeLines="0" w:afterLines="0" w:line="560" w:lineRule="atLeast"/>
        <w:jc w:val="left"/>
        <w:rPr>
          <w:rFonts w:hint="default"/>
          <w:sz w:val="21"/>
          <w:szCs w:val="24"/>
        </w:rPr>
      </w:pPr>
      <w:r>
        <w:rPr>
          <w:rFonts w:hint="default" w:ascii="Times New Roman" w:hAnsi="Times New Roman" w:eastAsia="微软雅黑"/>
          <w:color w:val="333333"/>
          <w:kern w:val="0"/>
          <w:sz w:val="44"/>
          <w:szCs w:val="44"/>
          <w:lang w:bidi="ar"/>
        </w:rPr>
        <w:t> </w:t>
      </w:r>
    </w:p>
    <w:p>
      <w:pPr>
        <w:widowControl/>
        <w:spacing w:beforeLines="0" w:afterLines="0" w:line="560" w:lineRule="atLeast"/>
        <w:jc w:val="left"/>
        <w:rPr>
          <w:rFonts w:hint="default"/>
          <w:sz w:val="21"/>
          <w:szCs w:val="24"/>
        </w:rPr>
      </w:pPr>
      <w:r>
        <w:rPr>
          <w:rFonts w:hint="default" w:ascii="Times New Roman" w:hAnsi="Times New Roman" w:eastAsia="微软雅黑"/>
          <w:color w:val="333333"/>
          <w:kern w:val="0"/>
          <w:sz w:val="32"/>
          <w:szCs w:val="32"/>
          <w:lang w:bidi="ar"/>
        </w:rPr>
        <w:t> </w:t>
      </w:r>
    </w:p>
    <w:p>
      <w:pPr>
        <w:spacing w:beforeLines="0" w:afterLines="0"/>
        <w:rPr>
          <w:rFonts w:hint="default"/>
          <w:sz w:val="21"/>
          <w:szCs w:val="24"/>
        </w:rPr>
      </w:pPr>
    </w:p>
    <w:sectPr>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jMGRhMjBiMzIyNDk4OTAwNTBmNzQxYjc4MDQ2Y2EifQ=="/>
  </w:docVars>
  <w:rsids>
    <w:rsidRoot w:val="00000000"/>
    <w:rsid w:val="60157C09"/>
    <w:rsid w:val="7D793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0" w:semiHidden="0" w:name="Normal"/>
    <w:lsdException w:qFormat="1"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paragraph" w:styleId="2">
    <w:name w:val="heading 1"/>
    <w:basedOn w:val="1"/>
    <w:next w:val="1"/>
    <w:unhideWhenUsed/>
    <w:qFormat/>
    <w:uiPriority w:val="0"/>
    <w:pPr>
      <w:spacing w:before="100" w:beforeLines="0" w:beforeAutospacing="1" w:after="100" w:afterLines="0" w:afterAutospacing="1"/>
      <w:jc w:val="left"/>
    </w:pPr>
    <w:rPr>
      <w:rFonts w:hint="eastAsia" w:ascii="宋体" w:hAnsi="宋体" w:cs="宋体"/>
      <w:b/>
      <w:kern w:val="44"/>
      <w:sz w:val="48"/>
      <w:szCs w:val="48"/>
      <w:lang w:bidi="ar"/>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nhideWhenUsed/>
    <w:qFormat/>
    <w:uiPriority w:val="0"/>
    <w:pPr>
      <w:spacing w:before="100" w:beforeLines="0" w:beforeAutospacing="1" w:after="100" w:afterLines="0" w:afterAutospacing="1"/>
      <w:jc w:val="left"/>
    </w:pPr>
    <w:rPr>
      <w:rFonts w:hint="default"/>
      <w:kern w:val="0"/>
      <w:sz w:val="24"/>
      <w:szCs w:val="24"/>
      <w:lang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www</dc:creator>
  <cp:lastModifiedBy>Administrator</cp:lastModifiedBy>
  <dcterms:modified xsi:type="dcterms:W3CDTF">2023-07-25T03:51:28Z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A251DD96B3334308B52D657ED5093861_12</vt:lpwstr>
  </property>
</Properties>
</file>