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附件1：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医疗机构申请医保定点管理材料清单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一、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申请医保定点的医疗机构应当同时具备以下基本条件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（一）正式运营至少3个月；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（二）至少有1名取得医师执业证书、乡村医生执业证书或中医（专长）医师资格证书且第一注册地在该医疗机构的医师；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（三）主要负责人负责医保工作，配备专（兼）职医保管理人员；100张床位以上的医疗机构应设内部医保管理部门，安排专职工作人员；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（四）具有符合医保协议管理要求的医保管理、财务、统计信息管理、医疗质量安全核心等制度，有医疗“进、销、存”管理系统，并有相应台账等；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五）具有符合医保协议管理要求的医院信息系统技术和接口标准，实现与医保信息系统有效对接，按要求向医保信息系统传送全部就诊人员相关信息，为参保人员提供直接联网结算。设立医保药品、诊疗项目、医疗服务设施、医用耗材、疾病病种等基础数据库，按规定使用国家统一的医保编码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（六）单位及从业人员按规定参加职工医疗保险、生育保险等社会保险，依法与从业人员签订1年及以上劳动合同，且在劳动合同有效期内；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（七）符合法律法规和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地区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级及以上医疗保障行政部门规定的其他条件。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线下受理</w:t>
      </w:r>
      <w:bookmarkStart w:id="0" w:name="_Hlk109594100"/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材料</w:t>
      </w:r>
      <w:bookmarkEnd w:id="0"/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清单：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医疗机构申请医保定点协议管理</w:t>
      </w:r>
      <w:r>
        <w:rPr>
          <w:rFonts w:hint="eastAsia" w:ascii="仿宋" w:hAnsi="仿宋" w:eastAsia="仿宋" w:cs="仿宋"/>
          <w:sz w:val="32"/>
          <w:szCs w:val="32"/>
        </w:rPr>
        <w:t>申请表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》</w:t>
      </w:r>
      <w:r>
        <w:rPr>
          <w:rFonts w:hint="eastAsia" w:ascii="仿宋" w:hAnsi="仿宋" w:eastAsia="仿宋" w:cs="仿宋"/>
          <w:sz w:val="32"/>
          <w:szCs w:val="32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2.《医疗机构执业许可证、中医诊所备案证或军队医疗机构为民服务许可证照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》</w:t>
      </w:r>
      <w:bookmarkStart w:id="1" w:name="_GoBack"/>
      <w:bookmarkEnd w:id="1"/>
      <w:r>
        <w:rPr>
          <w:rFonts w:hint="eastAsia" w:ascii="仿宋" w:hAnsi="仿宋" w:eastAsia="仿宋" w:cs="仿宋"/>
          <w:sz w:val="32"/>
          <w:szCs w:val="32"/>
        </w:rPr>
        <w:t>复印件；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医疗机构需提供有效期内以下证件之一：</w:t>
      </w:r>
      <w:r>
        <w:rPr>
          <w:rFonts w:hint="eastAsia" w:ascii="仿宋" w:hAnsi="仿宋" w:eastAsia="仿宋" w:cs="仿宋"/>
          <w:sz w:val="32"/>
          <w:szCs w:val="32"/>
        </w:rPr>
        <w:t>《营业执照》（统一组织机构代码证）、《事业单位法人证书》《民办非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企业单位登记证书</w:t>
      </w:r>
      <w:r>
        <w:rPr>
          <w:rFonts w:hint="eastAsia" w:ascii="仿宋" w:hAnsi="仿宋" w:eastAsia="仿宋" w:cs="仿宋"/>
          <w:sz w:val="32"/>
          <w:szCs w:val="32"/>
        </w:rPr>
        <w:t>》；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4.医疗保险法定代表人有效身份证复印件、法定代表人授权委托书、代理人身份证原件、复印件，医疗保险负责人及工作管理人员名单和联系电话；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5.医疗机构医师（护士）、医技、药剂人员名单及资格证、职称证、注册证；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.与医保政策对应的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医保管理制度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》《</w:t>
      </w:r>
      <w:r>
        <w:rPr>
          <w:rFonts w:hint="eastAsia" w:ascii="仿宋" w:hAnsi="仿宋" w:eastAsia="仿宋" w:cs="仿宋"/>
          <w:sz w:val="32"/>
          <w:szCs w:val="32"/>
        </w:rPr>
        <w:t>财务制度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》《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统计信息管理制度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》《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医疗质量安全核心制度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等，与医保有关的信息系统是否具备开展直接联网结算的印证资料，纳入定点后使用医疗保障基金的预测性分析报告</w:t>
      </w:r>
      <w:r>
        <w:rPr>
          <w:rFonts w:hint="eastAsia" w:ascii="仿宋" w:hAnsi="仿宋" w:eastAsia="仿宋" w:cs="仿宋"/>
          <w:sz w:val="32"/>
          <w:szCs w:val="32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.与医保有关的医疗机构信息系统相关材料；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8.药品采购情况备案表；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9.医疗仪器设备清单；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</w:rPr>
        <w:t>.按规定为所有员工按时缴纳社会保险费的缴费凭证材料；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sz w:val="32"/>
          <w:szCs w:val="32"/>
        </w:rPr>
        <w:t>.医疗机构（及法定代表人）提交申请材料真实、合法、有效的承诺书。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零售药店申请医保定点管理材料清单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一、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申请医保定点的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零售药店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应当同时具备以下基本条件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（一）在注册地址正式经营至少3个月；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（二）至少有1名取得执业药师资格证书或具有药学、临床药学、中药学专业技术资格证书的药师，且注册地在该零售药店所在地，药师须签订1年以上劳动合同且在合同期内；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（三）至少有2名熟悉医疗保障法律法规和相关制度规定的专（兼）职医保管理人员负责医保工作，并签订1年以上劳动合同且在合同期内；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（四）按药品经营质量管理规范要求，开展药品分类分区管理，并对所售药品设立明确的医保用药标识；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（五）具有符合医保协议管理要求的医保药品管理制度、财务管理制度、医保人员管理制度、统计信息管理制度和医保费用结算制度；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（六）具备符合医保协议管理要求的信息系统技术和接口标准，实现与医保信息系统有效对接，为参保人员提供直接联网结算，建立医保药品等基础数据库，按规定使用国家统一医保编码；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（七）单位及从业人员按规定参加职工医疗保险、生育保险等社会保险；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（八）符合法律法规和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地区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级及以上医疗保障行政部门规定的其他条件。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二、线下受理材料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清单：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零售药店申请医保定点协议管理</w:t>
      </w:r>
      <w:r>
        <w:rPr>
          <w:rFonts w:hint="eastAsia" w:ascii="仿宋" w:hAnsi="仿宋" w:eastAsia="仿宋" w:cs="仿宋"/>
          <w:sz w:val="32"/>
          <w:szCs w:val="32"/>
        </w:rPr>
        <w:t>申请表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》</w:t>
      </w:r>
      <w:r>
        <w:rPr>
          <w:rFonts w:hint="eastAsia" w:ascii="仿宋" w:hAnsi="仿宋" w:eastAsia="仿宋" w:cs="仿宋"/>
          <w:sz w:val="32"/>
          <w:szCs w:val="32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2.药品经营许可证、营业执照和法定代表人、主要负责人或实际控制人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联系人</w:t>
      </w:r>
      <w:r>
        <w:rPr>
          <w:rFonts w:hint="eastAsia" w:ascii="仿宋" w:hAnsi="仿宋" w:eastAsia="仿宋" w:cs="仿宋"/>
          <w:sz w:val="32"/>
          <w:szCs w:val="32"/>
        </w:rPr>
        <w:t>身份证复印件；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3.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零售药店以下工作人员须提供：①执业药师提供执业药师资格证、注册证、身份证复印件②财务管理人员提供职称证明材料复印件③营业人员提供药品从业人员岗位培训证书复印件；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药品经营的品种清单（标明医疗保险药品目录品种）；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27" w:firstLineChars="196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按规定为所有员工按时缴纳社会保险费的缴费凭证材料及</w:t>
      </w:r>
      <w:r>
        <w:rPr>
          <w:rFonts w:hint="eastAsia" w:ascii="仿宋" w:hAnsi="仿宋" w:eastAsia="仿宋" w:cs="仿宋"/>
          <w:sz w:val="32"/>
          <w:szCs w:val="32"/>
        </w:rPr>
        <w:t>劳动合同复印件；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.与医疗保障政策对应的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医保药品管理制度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》《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财务管理制度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》《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医保人员管理制度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》《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统计信息管理制度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》《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医保费用结算制度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》，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于医保有关的信息是否具备开展直接联网结算的印证资料，纳入定点后使用医疗保障基金的预测性分析报告</w:t>
      </w:r>
      <w:r>
        <w:rPr>
          <w:rFonts w:hint="eastAsia" w:ascii="仿宋" w:hAnsi="仿宋" w:eastAsia="仿宋" w:cs="仿宋"/>
          <w:sz w:val="32"/>
          <w:szCs w:val="32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.与医保有关的信息系统相关材料；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零售药店（及法定代表人）提交申请材料真实、合法、有效的承诺书；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984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2NTEwZjhiNTFiY2U2NDI2ZDkzY2U0ZmUxOTk0MjIifQ=="/>
  </w:docVars>
  <w:rsids>
    <w:rsidRoot w:val="63B32D45"/>
    <w:rsid w:val="00320491"/>
    <w:rsid w:val="008530DA"/>
    <w:rsid w:val="009905D6"/>
    <w:rsid w:val="0AEE52B9"/>
    <w:rsid w:val="0D411D06"/>
    <w:rsid w:val="14A96945"/>
    <w:rsid w:val="16AF9E38"/>
    <w:rsid w:val="34C44733"/>
    <w:rsid w:val="3B5D79A7"/>
    <w:rsid w:val="3F7FEB44"/>
    <w:rsid w:val="4D0471ED"/>
    <w:rsid w:val="63B32D45"/>
    <w:rsid w:val="66B802F8"/>
    <w:rsid w:val="6DE17900"/>
    <w:rsid w:val="6F5360E1"/>
    <w:rsid w:val="D6FF2623"/>
    <w:rsid w:val="E7B58184"/>
    <w:rsid w:val="FFF54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1696</Words>
  <Characters>1727</Characters>
  <Lines>6</Lines>
  <Paragraphs>1</Paragraphs>
  <TotalTime>8</TotalTime>
  <ScaleCrop>false</ScaleCrop>
  <LinksUpToDate>false</LinksUpToDate>
  <CharactersWithSpaces>1727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2021-09-28T17:00:00Z</dcterms:created>
  <dc:creator>Administrator</dc:creator>
  <cp:lastModifiedBy>Administrator</cp:lastModifiedBy>
  <cp:lastPrinted>2021-09-28T18:28:00Z</cp:lastPrinted>
  <dcterms:modified xsi:type="dcterms:W3CDTF">2026-06-26T11:12:36Z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  <property fmtid="{D5CDD505-2E9C-101B-9397-08002B2CF9AE}" pid="3" name="ICV">
    <vt:lpwstr>5F034048C10543A189B1DDFA6F08DD83</vt:lpwstr>
  </property>
</Properties>
</file>