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70BC">
      <w:pPr>
        <w:keepNext w:val="0"/>
        <w:keepLines w:val="0"/>
        <w:pageBreakBefore w:val="0"/>
        <w:widowControl w:val="0"/>
        <w:tabs>
          <w:tab w:val="center" w:pos="4213"/>
          <w:tab w:val="left" w:pos="6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hanging="412" w:hangingChars="100"/>
        <w:jc w:val="center"/>
        <w:textAlignment w:val="auto"/>
        <w:rPr>
          <w:rFonts w:hint="eastAsia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  <w:t>泽普县</w:t>
      </w:r>
      <w:r>
        <w:rPr>
          <w:rFonts w:hint="eastAsia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  <w:t>商贸企业高质量发展工作实施方案</w:t>
      </w:r>
    </w:p>
    <w:p w14:paraId="0B35F656">
      <w:pPr>
        <w:keepNext w:val="0"/>
        <w:keepLines w:val="0"/>
        <w:pageBreakBefore w:val="0"/>
        <w:widowControl w:val="0"/>
        <w:tabs>
          <w:tab w:val="center" w:pos="4213"/>
          <w:tab w:val="left" w:pos="6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hanging="412" w:hangingChars="100"/>
        <w:jc w:val="center"/>
        <w:textAlignment w:val="auto"/>
        <w:rPr>
          <w:rFonts w:hint="default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6"/>
          <w:kern w:val="2"/>
          <w:sz w:val="40"/>
          <w:szCs w:val="40"/>
          <w:lang w:val="en-US" w:eastAsia="zh-CN" w:bidi="ar-SA"/>
        </w:rPr>
        <w:t>（征求意见稿）</w:t>
      </w:r>
      <w:bookmarkStart w:id="1" w:name="_GoBack"/>
      <w:bookmarkEnd w:id="1"/>
    </w:p>
    <w:p w14:paraId="6EED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70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4"/>
          <w:szCs w:val="34"/>
          <w:lang w:val="en-US" w:eastAsia="zh-CN" w:bidi="ar-SA"/>
        </w:rPr>
      </w:pPr>
    </w:p>
    <w:p w14:paraId="728D1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为持续优化我县经济发展方式，培育和壮大市场经营主体，增强经济发展后劲，支持和培育发展限额以上商贸流通企业健康发展，稳步提高限额以上消费品零售额比重，实现社会消费品零售额提质提量，现制定如下措施：</w:t>
      </w:r>
    </w:p>
    <w:p w14:paraId="6965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黑体_GBK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6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黑体_GBK" w:cs="Times New Roman"/>
          <w:spacing w:val="6"/>
          <w:kern w:val="2"/>
          <w:sz w:val="32"/>
          <w:szCs w:val="32"/>
          <w:lang w:val="en-US" w:eastAsia="zh-CN" w:bidi="ar-SA"/>
        </w:rPr>
        <w:t>一、总体要求</w:t>
      </w:r>
    </w:p>
    <w:p w14:paraId="28689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充分发挥县委、县政府，统计部门、行业主管部门、属地管理作用，以培育限额以上企业为抓手，按照“在库企业抓提质、达规企业抓入库、近规企业抓培育”原则，进一步明确职责，强化联动，政策扶持，精准服务，充分激发市场主体活力，不断培育新的经济增长点，稳步提高限额以上消费品零售企业比重，确保2025年社会消费品零售总额增长12%及以上，其中限额以上社消零增长10%以上。</w:t>
      </w:r>
    </w:p>
    <w:p w14:paraId="25112AA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</w:rPr>
        <w:t>、目</w:t>
      </w: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标任务</w:t>
      </w:r>
    </w:p>
    <w:p w14:paraId="6399B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对全县商贸企业市场主体进行全面摸排登记、摸准诉求、精准服务、整理分类、分层培育、及时纳统，各环节同步进行，做到边登记、边服务、边分类、边培育、边纳统，确保工作取得明显成效。</w:t>
      </w:r>
    </w:p>
    <w:p w14:paraId="567C944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（一）摸准诉求。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各乡镇、各部门在全面登记过程中，认真听取市场主体对政府、行业主管部门的诉求，特别是发展中面临的困难、需要解决的问题及意见建议，准确把握企业诉求、问题。各行业主管部门要根据各市场主体诉求问题进行梳理分类、建立台账。</w:t>
      </w:r>
    </w:p>
    <w:p w14:paraId="3120A25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（二）精准服务。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根据企业诉求，做好惠企政策推送、问题交办督办、跟踪调度、协调解决等方面工作。</w:t>
      </w:r>
    </w:p>
    <w:p w14:paraId="0F590E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（三）整理分类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。按纳统标准对全县市场主体分为3类：①已达到升限纳统条件尚未纳统的商贸企业（大个体）；②拟升限商贸企业（大个体）；③其他商贸企业（大个体）主要包括除去①②类之外的商贸企业（大个体）及未在注册登记但其生产经营活动发生在的市场主体。</w:t>
      </w:r>
    </w:p>
    <w:p w14:paraId="6EAADA0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（四）分层培育。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对在库商贸企业（大个体），建立预测预警、分析研判、闭环解决问题机制，确保企业依法依规应报尽报；对已达到升限纳统条件尚未纳统的商贸企业（大个体），分析原因，解决问题；对拟升限商贸企业（大个体），实时监测企业成长情况，精准培育，制定纳统计划；对其他商贸企业（大个体），进行综合分析研判，建立台账，重点挖潜培育和解决“业务回流”问题。</w:t>
      </w:r>
    </w:p>
    <w:p w14:paraId="09E16D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（五）及时纳统</w:t>
      </w:r>
      <w:r>
        <w:rPr>
          <w:rFonts w:hint="default" w:ascii="Times New Roman" w:hAnsi="Times New Roman" w:eastAsia="方正楷体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对达到纳统标准的商贸企业（大个体），要认真分析生产经营状况，帮助其完善纳统材料，及时进行月度或年度纳统申报。</w:t>
      </w:r>
    </w:p>
    <w:p w14:paraId="6AB449C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pacing w:val="6"/>
          <w:sz w:val="32"/>
          <w:szCs w:val="32"/>
          <w:highlight w:val="none"/>
          <w:u w:val="none"/>
        </w:rPr>
        <w:t>、工作重点</w:t>
      </w:r>
    </w:p>
    <w:p w14:paraId="43D5037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坚持政府引导、市场主体自愿和不增加转型主体负担的原则，根据我县个体工商户实际生产规模和经营状况，确定以下几类“个转企”、成立连锁公司、工业企业转商贸企业工作重点引导培育对象。</w:t>
      </w:r>
    </w:p>
    <w:p w14:paraId="289CAB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（一）对于有意愿扩大经营规模的较大餐饮和零售个体工商户作为“个转企”引导对象。 </w:t>
      </w: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如：商场和超市零售、金银珠宝零售、文具零售、家具及建材零售、火锅、烧烤、宴会厅、农家乐等餐饮个体经营户，对于零售业营业额达到或即将达到500万元、餐饮业营业额达到或即将达到200万元的个体经营户，要及时通过政策引导、精准服务，鼓励转变经营模式，实现“个转企”。</w:t>
      </w:r>
    </w:p>
    <w:p w14:paraId="3341300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（二）引导无法达到“升规”要求的，既有加工又有销售的工业企业，可转为商贸企业，增加头部商贸企业，拉动经济体量的高增长。</w:t>
      </w:r>
    </w:p>
    <w:p w14:paraId="1E003E2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（三）关于同一投资人的企业或个体店作为成立连锁公司的引导对象。如：药店、服装鞋帽、珠宝首饰等专卖店、超市、餐饮企业或个体，由同一投资人，可通过政策引导，鼓励成立连锁公司。</w:t>
      </w:r>
    </w:p>
    <w:p w14:paraId="593896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四）对于实际以零售为主的批发、工业企业作为“转零售”企业引导对象。如：红枣等农产品初加工，桶装水等纯净水加工、家具、门窗加工、床上用品、窗帘等缝纫加工、粮油等生活用品批发企业，通过主要业务活动核实，变更相关企业营业执照业务范围。</w:t>
      </w:r>
    </w:p>
    <w:p w14:paraId="729CA15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五）对于从事经营政府财政支出的相关领域企业，作为注册泽普本地法人企业的引导对象。如：教育领域的食材供应企业、政府单位采购办公用品销售企业、学校食堂经营企业；公安领域的食材供应企业、供餐企业、保安公司食材供应企业、供餐企业；卫生领域的药品或器材经营企业，通过加大政府购买服务和引导，鼓励相关企业在泽普注册成立法人企业，确保相关“社消零”营业额实现“应统尽统”。</w:t>
      </w:r>
    </w:p>
    <w:p w14:paraId="1854A974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6"/>
          <w:sz w:val="32"/>
          <w:szCs w:val="32"/>
          <w:lang w:val="en-US" w:eastAsia="zh-CN"/>
        </w:rPr>
        <w:t>四、扶持政策</w:t>
      </w:r>
      <w:r>
        <w:rPr>
          <w:rFonts w:hint="default" w:ascii="Times New Roman" w:hAnsi="Times New Roman" w:eastAsia="方正黑体_GBK" w:cs="Times New Roman"/>
          <w:b w:val="0"/>
          <w:bCs w:val="0"/>
          <w:spacing w:val="6"/>
          <w:sz w:val="32"/>
          <w:szCs w:val="32"/>
        </w:rPr>
        <w:t xml:space="preserve"> </w:t>
      </w:r>
    </w:p>
    <w:p w14:paraId="5A778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667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（一）支持商贸业市场主体做强做大。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为激发商贸经营主体的积极性、主动性，对2024年后首次升限入统后的批发企业每家奖励4万元，零售业企业每家奖励7万元，餐饮、住宿企业每家奖励3万元；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6"/>
          <w:kern w:val="2"/>
          <w:sz w:val="32"/>
          <w:szCs w:val="32"/>
          <w:lang w:val="en-US" w:eastAsia="zh-CN" w:bidi="ar-SA"/>
        </w:rPr>
        <w:t>对升限后销售额保持入库标准及以上的批发企业奖励2万元，零售企业奖励3万元、餐饮、住宿企业奖励1万元；对升限后在库企业销售额或零售额增长速度达到15%及以上的零售业企业奖励4万元，批发业企业奖励3万元，住宿和餐饮业企业奖励2万元。所需奖励资金来源上海援疆资金（具体奖励标准详见附件2、附件3、附件4、附件5）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。</w:t>
      </w:r>
    </w:p>
    <w:p w14:paraId="310F72F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7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（二）加大金融惠企纾困力度。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</w:rPr>
        <w:t>持续规范发展消费信贷产品和服务，加大对“批零住餐”等行业主体的支持力度，满足商贸企业合理消费资金需求。充分利用普惠小微贷款支持工具，按照市场化、法治化原则，对小微实体经济予以支持。继续增加民营企业信贷投放，制定民营企业年度服务目标，提高民营企业贷款在新发放企业贷款中占比。</w:t>
      </w:r>
    </w:p>
    <w:p w14:paraId="5614ED1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以上扶持政策资金纳入财政预算，通过援疆资金解决。</w:t>
      </w:r>
    </w:p>
    <w:p w14:paraId="6A9E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黑体_GBK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6"/>
          <w:kern w:val="2"/>
          <w:sz w:val="32"/>
          <w:szCs w:val="32"/>
          <w:lang w:val="en-US" w:eastAsia="zh-CN" w:bidi="ar-SA"/>
        </w:rPr>
        <w:t>五、保障措施</w:t>
      </w:r>
    </w:p>
    <w:p w14:paraId="4D18B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（一）统一思想，提高政治站位。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各成员单位要提高政治站位，统一思想，高度重视社零和限上企业入库工作，进一步夯实工作责任，强化工作措施，主动开展工作，确保各项工作落到实处，取得实效。</w:t>
      </w:r>
    </w:p>
    <w:p w14:paraId="5A62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（二）强化引导，加强宣传推广。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要加强舆论引导，广泛宣传消费新业态、新模式、新导向，积极动员社会各方力量共同参与节庆促消费活动。积极回应社会关切政府消费券问题，加大对接新媒体平台、电商平台，多渠道多模式宣传力度，及时报送活动动态信息，客观反映工作成效。</w:t>
      </w:r>
    </w:p>
    <w:p w14:paraId="4BC8C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7" w:firstLineChars="200"/>
        <w:jc w:val="both"/>
        <w:textAlignment w:val="auto"/>
        <w:rPr>
          <w:rFonts w:hint="default" w:ascii="Times New Roman" w:hAnsi="Times New Roman" w:eastAsia="仿宋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pacing w:val="6"/>
          <w:kern w:val="2"/>
          <w:sz w:val="32"/>
          <w:szCs w:val="32"/>
          <w:lang w:val="en-US" w:eastAsia="zh-CN" w:bidi="ar-SA"/>
        </w:rPr>
        <w:t>（三）做好培训，提高数据质量。</w:t>
      </w: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要广泛宣传《中华人民共和国统计法》,督促各限上企业及个体户按照《中华人民共和国统计法》规定的要求，积极履行社会职责义务，及时准确完整的上报统计数据。要加大对业务干部、企业的培训力度，定期对新增和原有限上商贸流通企业开展业务培训，及时传达社零统计总体要求。</w:t>
      </w:r>
    </w:p>
    <w:p w14:paraId="438D8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附件：1、泽普县2025年在库商贸企业包联责任表</w:t>
      </w:r>
    </w:p>
    <w:p w14:paraId="4357161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rightChars="0" w:firstLine="1660" w:firstLineChars="5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2、泽普县2025年度商贸企业申报奖励估算表</w:t>
      </w:r>
    </w:p>
    <w:p w14:paraId="3A37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66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3、2024年月度年度企业纳统入库奖励明细表</w:t>
      </w:r>
    </w:p>
    <w:p w14:paraId="059AC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66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4、2024年在库企业达标奖励明细表</w:t>
      </w:r>
    </w:p>
    <w:p w14:paraId="4E884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166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5、2024年在库企业突出贡献奖励明细表</w:t>
      </w:r>
    </w:p>
    <w:p w14:paraId="3B907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E03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292D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4488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14B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B429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53D0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  <w:t>附件1</w:t>
      </w:r>
    </w:p>
    <w:p w14:paraId="6DF1B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1807" w:firstLineChars="5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2025年在库商贸企业包联责任表</w:t>
      </w:r>
    </w:p>
    <w:tbl>
      <w:tblPr>
        <w:tblStyle w:val="6"/>
        <w:tblW w:w="8297" w:type="dxa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074"/>
        <w:gridCol w:w="1234"/>
        <w:gridCol w:w="1200"/>
        <w:gridCol w:w="1492"/>
        <w:gridCol w:w="1423"/>
      </w:tblGrid>
      <w:tr w14:paraId="7455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单位详细名称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行业分类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F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0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包联责任单位</w:t>
            </w:r>
          </w:p>
        </w:tc>
      </w:tr>
      <w:tr w14:paraId="4E33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泽普县新泽粮油购销有限责任公司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3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艾斯克尔·吐孙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13579099222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泽普县发改委(粮食局)</w:t>
            </w:r>
          </w:p>
        </w:tc>
      </w:tr>
      <w:tr w14:paraId="500D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新疆棉花产业集团泽普棉业有限公司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1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金星光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18139584567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C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37FE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泽普县金湖杨种业有限公司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9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闫晓静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6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13579073034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泽普县农业农村局</w:t>
            </w:r>
          </w:p>
        </w:tc>
      </w:tr>
      <w:tr w14:paraId="2238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泽普县新源燃气有限公司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4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许峻滔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E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18399342888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泽普县住建局</w:t>
            </w:r>
          </w:p>
        </w:tc>
      </w:tr>
      <w:tr w14:paraId="62FB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C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泽普县绿果源疆农民合作社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贾雷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F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15090815489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12F3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喀什同心堂医药零售连锁有限公司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张锋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5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18699868889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3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泽普县医保局</w:t>
            </w:r>
          </w:p>
        </w:tc>
      </w:tr>
      <w:tr w14:paraId="63A0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E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泽普县锦程商贸有限公司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唐学爱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17599452608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228F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5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泽普县塔源燃气有限责任公司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5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郑建勋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9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18299621998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泽普县住建局</w:t>
            </w:r>
          </w:p>
        </w:tc>
      </w:tr>
      <w:tr w14:paraId="64D9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1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泽普德米瑞便民超市有限公司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C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李奕钰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13201181182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B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28DD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D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泽普县金凤泽普农业发展投资有限公司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3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C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曹永明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16699725555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泽普县供销社</w:t>
            </w:r>
          </w:p>
        </w:tc>
      </w:tr>
      <w:tr w14:paraId="143D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A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泽普县君傲汽车贸易有限公司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18799887967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18A5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泽普县众鑫商贸有限公司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冯菊花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18097978097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0667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泽普县美亿加连锁超市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0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章虎刚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4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17881392219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6DC1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E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泽普县新山陆林超市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师奇学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A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15299944062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D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231C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泽普县金凤厨房餐饮有限公司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吕银忠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13779728385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供销社</w:t>
            </w:r>
          </w:p>
        </w:tc>
      </w:tr>
      <w:tr w14:paraId="65BD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泽普县金湖杨火锅店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6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赵吉清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6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15214987000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779F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泽普县蜜甜烤包子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图尔荪江·马合木提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18997755077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2978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泽普宾馆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D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张森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13399099126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  <w:bookmarkEnd w:id="0"/>
          </w:p>
        </w:tc>
      </w:tr>
      <w:tr w14:paraId="301CB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2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泽普县金湖杨国际酒店有限公司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4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唐志刚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5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15276011977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泽普县文旅局</w:t>
            </w:r>
          </w:p>
        </w:tc>
      </w:tr>
      <w:tr w14:paraId="6FDB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泽普县名都酒店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4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4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19351184444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  <w:tr w14:paraId="6666C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泽普县新明园大酒店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B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A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18167655222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泽普县商务局</w:t>
            </w:r>
          </w:p>
        </w:tc>
      </w:tr>
    </w:tbl>
    <w:p w14:paraId="4122E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55F3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732B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E38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08BE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A45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6D4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7CB29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7033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D75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5B77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28D8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D4BC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3082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FDB6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ED7A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  <w:t>附件2</w:t>
      </w:r>
    </w:p>
    <w:p w14:paraId="443BD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1024" w:firstLineChars="3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泽普县2025年度商贸企业申报奖励估算表</w:t>
      </w:r>
    </w:p>
    <w:tbl>
      <w:tblPr>
        <w:tblStyle w:val="6"/>
        <w:tblW w:w="8331" w:type="dxa"/>
        <w:tblInd w:w="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200"/>
        <w:gridCol w:w="1413"/>
        <w:gridCol w:w="675"/>
        <w:gridCol w:w="676"/>
        <w:gridCol w:w="920"/>
        <w:gridCol w:w="432"/>
        <w:gridCol w:w="677"/>
        <w:gridCol w:w="1034"/>
        <w:gridCol w:w="892"/>
      </w:tblGrid>
      <w:tr w14:paraId="19D5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奖励子项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预计企业数量（家）</w:t>
            </w:r>
          </w:p>
        </w:tc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奖励单额（万元/家）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 w14:paraId="67DDF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D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7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8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批发业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 w14:paraId="734F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年月度、年度企业纳统入库奖励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月度、年度企业或大个体入库奖励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D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4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</w:tr>
      <w:tr w14:paraId="014A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C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达标贡献奖励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0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在库企业销售额达标奖励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1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3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F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</w:tr>
      <w:tr w14:paraId="270E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4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突出贡献奖励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在库企业销售额或零售额同比增速达到15%及以上奖励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1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D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 w14:paraId="3864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4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</w:tr>
    </w:tbl>
    <w:p w14:paraId="18121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/>
        <w:textAlignment w:val="auto"/>
        <w:rPr>
          <w:rFonts w:hint="default" w:ascii="Times New Roman" w:hAnsi="Times New Roman" w:eastAsia="仿宋" w:cs="Times New Roman"/>
          <w:spacing w:val="5"/>
          <w:sz w:val="31"/>
          <w:szCs w:val="31"/>
          <w:lang w:val="en-US" w:eastAsia="zh-CN"/>
        </w:rPr>
      </w:pPr>
    </w:p>
    <w:p w14:paraId="0DF7F5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256942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4EC7C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66D90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6CBDAA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0FE334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47B16D2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0DC9D3F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38FD1EE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591FA6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1F5E2DB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261EC05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</w:p>
    <w:p w14:paraId="27EAF8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  <w:t>附件3</w:t>
      </w:r>
    </w:p>
    <w:p w14:paraId="6A7791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1024" w:firstLineChars="3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2024年月度、年度企业纳统入库奖励明细表</w:t>
      </w:r>
    </w:p>
    <w:tbl>
      <w:tblPr>
        <w:tblStyle w:val="6"/>
        <w:tblW w:w="8313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57"/>
        <w:gridCol w:w="1320"/>
        <w:gridCol w:w="1868"/>
        <w:gridCol w:w="1766"/>
      </w:tblGrid>
      <w:tr w14:paraId="3C86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入库时间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奖励金额（万元）</w:t>
            </w:r>
          </w:p>
        </w:tc>
      </w:tr>
      <w:tr w14:paraId="64C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泽普棉业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5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14C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新源燃气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9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884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塔源燃气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D8B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6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金凤厨房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D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AD3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2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金湖杨火锅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E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39A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</w:tbl>
    <w:p w14:paraId="408A97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1BEBA80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26E2E6B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3D33629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2338DC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0E05D5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18E9ABD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21F0A4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43657E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48EDF9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8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</w:p>
    <w:p w14:paraId="3A03D0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36CBC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345C3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7E5336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63BAC2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1B3FA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7C2F6F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2425C8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62DE77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7C141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09261E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3F4C8A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附件4</w:t>
      </w:r>
    </w:p>
    <w:p w14:paraId="60B714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707" w:firstLineChars="500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2024年在库企业达标奖励明细表</w:t>
      </w:r>
    </w:p>
    <w:tbl>
      <w:tblPr>
        <w:tblStyle w:val="6"/>
        <w:tblW w:w="8279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040"/>
        <w:gridCol w:w="1547"/>
        <w:gridCol w:w="2275"/>
        <w:gridCol w:w="1715"/>
      </w:tblGrid>
      <w:tr w14:paraId="5DBD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0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销售额（万元）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奖励金额（万元）</w:t>
            </w:r>
          </w:p>
        </w:tc>
      </w:tr>
      <w:tr w14:paraId="3CBE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E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新泽粮油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12547.7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79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金湖杨种业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5340.3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1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943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新源燃气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3510.5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FD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7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1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E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2924.5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103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锦程商贸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2142.6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FF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5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德米瑞超市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2117.2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108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金凤泽普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10982.1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06C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3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君傲汽车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16E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众鑫商贸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3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C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4271.4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26C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美亿加超市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1646.5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1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481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山陆林超市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2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993.7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56F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金凤厨房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1026.6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B6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8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金湖杨大酒店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1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D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D0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泽普宾馆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16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</w:tbl>
    <w:p w14:paraId="6DB783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7453FA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2D72CB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191C7D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0191A7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4AA91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13726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32DD81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p w14:paraId="628C19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附件5</w:t>
      </w:r>
    </w:p>
    <w:p w14:paraId="1446D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365" w:firstLineChars="400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  <w:t>2024年在库企业突出贡献奖励明细表</w:t>
      </w:r>
    </w:p>
    <w:tbl>
      <w:tblPr>
        <w:tblStyle w:val="6"/>
        <w:tblW w:w="8296" w:type="dxa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035"/>
        <w:gridCol w:w="1667"/>
        <w:gridCol w:w="1937"/>
        <w:gridCol w:w="2006"/>
      </w:tblGrid>
      <w:tr w14:paraId="53869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7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销售额或零售额增速（%）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奖励金额（万元）</w:t>
            </w:r>
          </w:p>
        </w:tc>
      </w:tr>
      <w:tr w14:paraId="616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新泽粮油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18.37%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38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2D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E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泽普棉业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9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22.93%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8BC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F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4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金湖杨种业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9CF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3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锦程商贸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D5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金凤泽普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28.06%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E5C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6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君傲汽车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26.36%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2AA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众鑫商贸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5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41.92%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6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61D5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3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美亿加超市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73.35%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9FD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D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金湖杨火锅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B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7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70A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2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</w:tbl>
    <w:p w14:paraId="509989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34"/>
          <w:szCs w:val="3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C04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59265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59265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C7A19"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C7A19"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1D3A"/>
    <w:rsid w:val="04BA0275"/>
    <w:rsid w:val="077F1687"/>
    <w:rsid w:val="07FE2B6F"/>
    <w:rsid w:val="08404F36"/>
    <w:rsid w:val="090715AF"/>
    <w:rsid w:val="093305F6"/>
    <w:rsid w:val="09F424F5"/>
    <w:rsid w:val="0A566A16"/>
    <w:rsid w:val="0A6D18E6"/>
    <w:rsid w:val="0A77467D"/>
    <w:rsid w:val="0ACC485F"/>
    <w:rsid w:val="0AF049F1"/>
    <w:rsid w:val="0B696551"/>
    <w:rsid w:val="0BA15CEB"/>
    <w:rsid w:val="0CB30703"/>
    <w:rsid w:val="0D6C56B8"/>
    <w:rsid w:val="0EE83C31"/>
    <w:rsid w:val="0F1548AA"/>
    <w:rsid w:val="106B5D92"/>
    <w:rsid w:val="11B524F0"/>
    <w:rsid w:val="12425B11"/>
    <w:rsid w:val="13EE6335"/>
    <w:rsid w:val="140E7C96"/>
    <w:rsid w:val="161650FA"/>
    <w:rsid w:val="16373C4B"/>
    <w:rsid w:val="17BC3D6F"/>
    <w:rsid w:val="19721B94"/>
    <w:rsid w:val="1AD339E7"/>
    <w:rsid w:val="1B844C07"/>
    <w:rsid w:val="1F811C64"/>
    <w:rsid w:val="20887022"/>
    <w:rsid w:val="20C151DA"/>
    <w:rsid w:val="210E021F"/>
    <w:rsid w:val="23130E25"/>
    <w:rsid w:val="2473595A"/>
    <w:rsid w:val="2549452C"/>
    <w:rsid w:val="26CA1A0D"/>
    <w:rsid w:val="281C7D35"/>
    <w:rsid w:val="295E6B72"/>
    <w:rsid w:val="2BE94E19"/>
    <w:rsid w:val="2C610E53"/>
    <w:rsid w:val="2DBB4593"/>
    <w:rsid w:val="2EC20FBC"/>
    <w:rsid w:val="2F0A5B41"/>
    <w:rsid w:val="302C1778"/>
    <w:rsid w:val="31594837"/>
    <w:rsid w:val="3234700A"/>
    <w:rsid w:val="353E4427"/>
    <w:rsid w:val="36671280"/>
    <w:rsid w:val="36E70753"/>
    <w:rsid w:val="372A4537"/>
    <w:rsid w:val="38AF1198"/>
    <w:rsid w:val="39FA22AE"/>
    <w:rsid w:val="3E1E026E"/>
    <w:rsid w:val="3ECC1DBC"/>
    <w:rsid w:val="3F2006FA"/>
    <w:rsid w:val="3FFF47B3"/>
    <w:rsid w:val="42AB2533"/>
    <w:rsid w:val="432172F9"/>
    <w:rsid w:val="44CC6C2E"/>
    <w:rsid w:val="47505EDF"/>
    <w:rsid w:val="48345ACA"/>
    <w:rsid w:val="49BA799D"/>
    <w:rsid w:val="4B263F10"/>
    <w:rsid w:val="4C42653F"/>
    <w:rsid w:val="4DC737B2"/>
    <w:rsid w:val="4E1E3C61"/>
    <w:rsid w:val="4F93316A"/>
    <w:rsid w:val="4FC955DF"/>
    <w:rsid w:val="50697475"/>
    <w:rsid w:val="51830E32"/>
    <w:rsid w:val="52100DC0"/>
    <w:rsid w:val="521C2FA3"/>
    <w:rsid w:val="53034162"/>
    <w:rsid w:val="53590226"/>
    <w:rsid w:val="5555355C"/>
    <w:rsid w:val="55625611"/>
    <w:rsid w:val="55782BE6"/>
    <w:rsid w:val="55AF412E"/>
    <w:rsid w:val="55DA73FC"/>
    <w:rsid w:val="59301A29"/>
    <w:rsid w:val="594A2AEB"/>
    <w:rsid w:val="5A8A41AF"/>
    <w:rsid w:val="5A9F3E73"/>
    <w:rsid w:val="5BD4669C"/>
    <w:rsid w:val="5D072AA1"/>
    <w:rsid w:val="5D284EF1"/>
    <w:rsid w:val="5E06580D"/>
    <w:rsid w:val="5E625991"/>
    <w:rsid w:val="5F8F640F"/>
    <w:rsid w:val="5F9B0A92"/>
    <w:rsid w:val="60327E35"/>
    <w:rsid w:val="61D54F1C"/>
    <w:rsid w:val="62496891"/>
    <w:rsid w:val="62FA4679"/>
    <w:rsid w:val="63884A89"/>
    <w:rsid w:val="63FE4BFE"/>
    <w:rsid w:val="64A70DF2"/>
    <w:rsid w:val="64F8164D"/>
    <w:rsid w:val="6618187B"/>
    <w:rsid w:val="68F41D3A"/>
    <w:rsid w:val="69364EAF"/>
    <w:rsid w:val="69ED163B"/>
    <w:rsid w:val="6A4740ED"/>
    <w:rsid w:val="6B081FBC"/>
    <w:rsid w:val="6D9C0FE4"/>
    <w:rsid w:val="6DC85EDA"/>
    <w:rsid w:val="6FEF5D43"/>
    <w:rsid w:val="70B07280"/>
    <w:rsid w:val="70EE7DA8"/>
    <w:rsid w:val="719170B1"/>
    <w:rsid w:val="738549F4"/>
    <w:rsid w:val="73AF4CE8"/>
    <w:rsid w:val="73E72A00"/>
    <w:rsid w:val="758331B5"/>
    <w:rsid w:val="76A31A58"/>
    <w:rsid w:val="76FC1C55"/>
    <w:rsid w:val="78C17EAD"/>
    <w:rsid w:val="79334EF2"/>
    <w:rsid w:val="7A2D2112"/>
    <w:rsid w:val="7D681522"/>
    <w:rsid w:val="7E4D4360"/>
    <w:rsid w:val="7F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3683</Words>
  <Characters>4098</Characters>
  <Lines>0</Lines>
  <Paragraphs>0</Paragraphs>
  <TotalTime>85</TotalTime>
  <ScaleCrop>false</ScaleCrop>
  <LinksUpToDate>false</LinksUpToDate>
  <CharactersWithSpaces>4103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2024-11-27T12:02:00Z</dcterms:created>
  <dc:creator>X</dc:creator>
  <cp:lastModifiedBy>哆啦子</cp:lastModifiedBy>
  <cp:lastPrinted>2025-01-21T02:53:00Z</cp:lastPrinted>
  <dcterms:modified xsi:type="dcterms:W3CDTF">2025-03-10T02:53:43Z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eyJoZGlkIjoiMzEwNTM5NzYwMDRjMzkwZTVkZjY2ODkwMGIxNGU0OTUiLCJ1c2VySWQiOiIzNDY4OTMzNjkifQ==</vt:lpwstr>
  </property>
  <property fmtid="{D5CDD505-2E9C-101B-9397-08002B2CF9AE}" pid="4" name="ICV">
    <vt:lpwstr>DF3DF6F2FC8D4AA087BE3A29593B8032_13</vt:lpwstr>
  </property>
</Properties>
</file>