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pStyle w:val="2"/>
        <w:rPr>
          <w:rFonts w:asciiTheme="minorEastAsia" w:hAnsiTheme="minorEastAsia" w:eastAsiaTheme="minorEastAsia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  <w:lang w:eastAsia="zh-CN"/>
        </w:rPr>
        <w:t>泽普县医疗</w:t>
      </w: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保险基金支出</w:t>
      </w:r>
    </w:p>
    <w:p>
      <w:pPr>
        <w:spacing w:line="560" w:lineRule="exact"/>
        <w:jc w:val="center"/>
        <w:rPr>
          <w:rFonts w:hint="eastAsia" w:ascii="方正小标宋简体" w:eastAsia="方正小标宋简体" w:cs="黑体" w:hAnsiTheme="minorEastAsia"/>
          <w:b/>
          <w:bCs w:val="0"/>
          <w:kern w:val="0"/>
          <w:sz w:val="44"/>
          <w:szCs w:val="44"/>
        </w:rPr>
      </w:pPr>
      <w:r>
        <w:rPr>
          <w:rFonts w:hint="eastAsia" w:ascii="方正小标宋简体" w:eastAsia="方正小标宋简体" w:cs="黑体" w:hAnsiTheme="minorEastAsia"/>
          <w:b/>
          <w:kern w:val="0"/>
          <w:sz w:val="44"/>
          <w:szCs w:val="44"/>
        </w:rPr>
        <w:t>绩效评价报告</w:t>
      </w: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黑体" w:asciiTheme="minorEastAsia" w:hAnsiTheme="minorEastAsia" w:eastAsiaTheme="minorEastAsia"/>
          <w:b/>
          <w:kern w:val="0"/>
          <w:sz w:val="30"/>
          <w:szCs w:val="30"/>
        </w:rPr>
      </w:pP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</w:rPr>
        <w:t>（</w:t>
      </w:r>
      <w:r>
        <w:rPr>
          <w:rFonts w:cs="黑体" w:asciiTheme="minorEastAsia" w:hAnsiTheme="minorEastAsia" w:eastAsiaTheme="minorEastAsia"/>
          <w:b/>
          <w:kern w:val="0"/>
          <w:sz w:val="30"/>
          <w:szCs w:val="30"/>
        </w:rPr>
        <w:t>20</w:t>
      </w: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  <w:lang w:val="en-US" w:eastAsia="zh-CN"/>
        </w:rPr>
        <w:t>20</w:t>
      </w:r>
      <w:r>
        <w:rPr>
          <w:rFonts w:hint="eastAsia" w:cs="黑体" w:asciiTheme="minorEastAsia" w:hAnsiTheme="minorEastAsia" w:eastAsiaTheme="minorEastAsia"/>
          <w:b/>
          <w:kern w:val="0"/>
          <w:sz w:val="30"/>
          <w:szCs w:val="30"/>
        </w:rPr>
        <w:t>年度）</w:t>
      </w: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rPr>
          <w:rFonts w:cs="仿宋_GB2312" w:asciiTheme="minorEastAsia" w:hAnsiTheme="minorEastAsia" w:eastAsiaTheme="minorEastAsia"/>
          <w:bCs/>
          <w:kern w:val="0"/>
          <w:sz w:val="30"/>
          <w:szCs w:val="30"/>
        </w:rPr>
      </w:pPr>
    </w:p>
    <w:p>
      <w:pPr>
        <w:spacing w:line="560" w:lineRule="exact"/>
        <w:ind w:firstLine="640" w:firstLineChars="200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项目名称：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eastAsia="zh-CN"/>
        </w:rPr>
        <w:t>医疗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保险基金支出</w:t>
      </w:r>
    </w:p>
    <w:p>
      <w:pPr>
        <w:spacing w:line="560" w:lineRule="exact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实施单位（公章）：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eastAsia="zh-CN"/>
        </w:rPr>
        <w:t>泽普县医疗保障局</w:t>
      </w: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</w:pPr>
    </w:p>
    <w:p>
      <w:pPr>
        <w:pStyle w:val="2"/>
        <w:rPr>
          <w:rFonts w:hint="eastAsia"/>
          <w:highlight w:val="none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</w:pPr>
    </w:p>
    <w:p>
      <w:pPr>
        <w:spacing w:line="560" w:lineRule="exact"/>
        <w:ind w:firstLine="755" w:firstLineChars="236"/>
        <w:jc w:val="left"/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负责人（签章）：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eastAsia="zh-CN"/>
        </w:rPr>
        <w:t>范晓俊</w:t>
      </w:r>
    </w:p>
    <w:p>
      <w:pPr>
        <w:spacing w:line="560" w:lineRule="exact"/>
        <w:ind w:firstLine="755" w:firstLineChars="236"/>
        <w:jc w:val="left"/>
        <w:rPr>
          <w:rFonts w:cs="黑体" w:asciiTheme="minorEastAsia" w:hAnsiTheme="minorEastAsia" w:eastAsiaTheme="minorEastAsia"/>
          <w:bCs/>
          <w:kern w:val="0"/>
          <w:sz w:val="32"/>
          <w:szCs w:val="32"/>
          <w:highlight w:val="none"/>
        </w:rPr>
      </w:pP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填报时间：</w:t>
      </w:r>
      <w:r>
        <w:rPr>
          <w:rFonts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 xml:space="preserve"> 20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年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月2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  <w:lang w:val="en-US" w:eastAsia="zh-CN"/>
        </w:rPr>
        <w:t>0</w:t>
      </w:r>
      <w:r>
        <w:rPr>
          <w:rFonts w:hint="eastAsia" w:cs="黑体" w:asciiTheme="minorEastAsia" w:hAnsiTheme="minorEastAsia" w:eastAsiaTheme="minorEastAsia"/>
          <w:bCs/>
          <w:kern w:val="0"/>
          <w:sz w:val="32"/>
          <w:szCs w:val="32"/>
          <w:highlight w:val="none"/>
        </w:rPr>
        <w:t>日</w:t>
      </w:r>
    </w:p>
    <w:p>
      <w:pPr>
        <w:spacing w:line="560" w:lineRule="exact"/>
        <w:ind w:firstLine="640"/>
        <w:rPr>
          <w:rStyle w:val="19"/>
          <w:rFonts w:cs="仿宋_GB2312" w:asciiTheme="minorEastAsia" w:hAnsiTheme="minorEastAsia" w:eastAsiaTheme="minorEastAsia"/>
          <w:bCs w:val="0"/>
          <w:spacing w:val="-4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  <w:t>一、</w:t>
      </w: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  <w:lang w:eastAsia="zh-CN"/>
        </w:rPr>
        <w:t>医疗</w:t>
      </w: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  <w:t>保险基金收支余情况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  <w:t>（一）</w:t>
      </w: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  <w:lang w:eastAsia="zh-CN"/>
        </w:rPr>
        <w:t>医疗</w:t>
      </w: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  <w:t>保险基金情况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度，在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县医保局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、财政局的大力支持和共同努力下，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泽普县医疗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保险工作取得了显著成绩。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保险基金收入稳步增长，支出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不断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增加，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总体运行平稳。确保了广大参保人员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保险待遇的按时、足额发放，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保险覆盖面逐步扩大。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进一步加强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保险基金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风险防控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管理上，确保了基金的安全运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行。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2020年泽普县职工基本医疗保险基金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总收入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10491万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元（收入小计不含上下级往来），完成年度预算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98.35</w:t>
      </w:r>
      <w:r>
        <w:rPr>
          <w:rFonts w:cs="仿宋_GB2312" w:asciiTheme="minorEastAsia" w:hAnsiTheme="minorEastAsia" w:eastAsiaTheme="minorEastAsia"/>
          <w:bCs/>
          <w:sz w:val="30"/>
          <w:szCs w:val="30"/>
          <w:highlight w:val="none"/>
        </w:rPr>
        <w:t>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。基金总支出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21271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元（含上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解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14807万元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），完成年度预算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223</w:t>
      </w:r>
      <w:r>
        <w:rPr>
          <w:rFonts w:cs="仿宋_GB2312" w:asciiTheme="minorEastAsia" w:hAnsiTheme="minorEastAsia" w:eastAsiaTheme="minorEastAsia"/>
          <w:bCs/>
          <w:sz w:val="30"/>
          <w:szCs w:val="30"/>
          <w:highlight w:val="none"/>
        </w:rPr>
        <w:t>%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。基金当期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结余-10780.66万元，滚存结余1011.98万元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2020年泽普县城乡居民基本医疗保险基金总收入17079万元（收入小计不含上下级往来），完成年度预算103.36%。基金总支出23138万元（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含上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解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11176万元），完成年度预算145.15%。基金当期结余-6059.65万元，滚存结余1140.98万元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highlight w:val="none"/>
        </w:rPr>
        <w:t>（二）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highlight w:val="none"/>
          <w:lang w:eastAsia="zh-CN"/>
        </w:rPr>
        <w:t>医疗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highlight w:val="none"/>
        </w:rPr>
        <w:t>保险基金支出预算绩效目标设定情况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（包括基金支出预算目标及阶段性目标；项目用途和主要内容、涉及对象及人数范围等）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职工基本医疗保险基金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9509万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,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其中：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6175万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.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全年保障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参保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员20019人的医疗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待遇发放。全年预算支出执行目标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95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至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105%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承诺在每月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30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日前按时足额发放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医疗保险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，首次待遇发放准确率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预算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城乡居民基本医疗保险基金总支出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15940万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,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其中：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医疗待遇支出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13940万元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。全年保障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参保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人员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190915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人的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待遇发放。全年预算支出执行目标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95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至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105%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承诺在每月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30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日前按时足额发放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医疗保险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，首次待遇发放准确率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％以上，参保群众满意率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5</w:t>
      </w:r>
      <w:r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%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/>
          <w:bCs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  <w:highlight w:val="none"/>
        </w:rPr>
        <w:t>二、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  <w:highlight w:val="none"/>
        </w:rPr>
        <w:t>保险基金预算完成及运行情况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/>
          <w:bCs/>
          <w:kern w:val="0"/>
          <w:sz w:val="30"/>
          <w:szCs w:val="30"/>
          <w:highlight w:val="none"/>
        </w:rPr>
        <w:t>（一）</w:t>
      </w: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highlight w:val="none"/>
        </w:rPr>
        <w:t>职工基本医疗保险基金预算完成及运行情况分析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职工基本医疗保险基金收入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10491万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元，其中：保费收入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9474万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利息收入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106万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财政补助收入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0万元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，其他收入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2万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元，转移收入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元，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21271万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元，其中：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待遇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6446万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元，转移支出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，上解上级支出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14807万元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。基金当期结余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-10780万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元，滚存结余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1011万元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jc w:val="left"/>
        <w:textAlignment w:val="auto"/>
        <w:outlineLvl w:val="9"/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城乡居民基本医疗保险基金收入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17078万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元，其中：保费收入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6212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万元，利息收入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29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万元，财政补助收入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10837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万元，其他收入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万元，转移收入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万元，基金总支出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23138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万元，其中：待遇支出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11962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万元，转移支出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0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万元，上解上级支出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11176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万元。基金当期结余-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6059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万元，滚存结余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val="en-US" w:eastAsia="zh-CN"/>
        </w:rPr>
        <w:t>1141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highlight w:val="none"/>
        </w:rPr>
        <w:t>三、社会保险基金支出组织实施情况和绩效管理情况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2" w:firstLineChars="200"/>
        <w:jc w:val="left"/>
        <w:textAlignment w:val="auto"/>
        <w:outlineLvl w:val="9"/>
        <w:rPr>
          <w:rFonts w:asciiTheme="minorEastAsia" w:hAnsiTheme="minorEastAsia" w:eastAsiaTheme="minorEastAsia"/>
          <w:b/>
          <w:kern w:val="0"/>
          <w:sz w:val="30"/>
          <w:szCs w:val="30"/>
          <w:highlight w:val="none"/>
        </w:rPr>
      </w:pPr>
      <w:r>
        <w:rPr>
          <w:rFonts w:hint="eastAsia" w:asciiTheme="minorEastAsia" w:hAnsiTheme="minorEastAsia" w:eastAsiaTheme="minorEastAsia"/>
          <w:b/>
          <w:kern w:val="0"/>
          <w:sz w:val="30"/>
          <w:szCs w:val="30"/>
          <w:highlight w:val="none"/>
        </w:rPr>
        <w:t>（一）社会保险管理情况分析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  <w:t>（二）绩效目标完成情况分析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84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全年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泽普县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没有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职工医疗和城乡居民医疗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因为参保待遇问题引起上访问题，群众上访率为</w:t>
      </w:r>
      <w:r>
        <w:rPr>
          <w:rFonts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0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。社会保险待遇在规定时限内足额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发放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待遇，社会满意度</w:t>
      </w:r>
      <w:r>
        <w:rPr>
          <w:rFonts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95%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以上，圆满保障了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参保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人员的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正常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生活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坚定维护了新疆社会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和谐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和长治久安。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asciiTheme="minorEastAsia" w:hAnsiTheme="minorEastAsia" w:eastAsiaTheme="minorEastAsia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老金支出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val="en-US" w:eastAsia="zh-CN"/>
        </w:rPr>
        <w:t>23万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Cs w:val="0"/>
          <w:spacing w:val="-4"/>
          <w:sz w:val="30"/>
          <w:szCs w:val="30"/>
          <w:highlight w:val="none"/>
        </w:rPr>
        <w:t>四、其他需要说明的问题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  <w:t>（一）后续工作计划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继续推动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保险改革，全面实现参保缴费、待遇发放和新办法计发。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84" w:firstLineChars="200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  <w:t>主要经验及做法、存在问题和建议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2020年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是实施“十三五”规划的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收关之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年，也是社会保障事业发展进入新阶段、实现新发展的关键之年。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泽普经办机构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以基金安全运行为根本，以提高管理服务水平为重点，严格执行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保险各项政策，建立健全内部控制制度，确保待遇发放，基金运行总体平稳。通过逐步提高保险待遇支付标准，使参保人员的获得感、幸福感不断增强。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泽普县医保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经办机构按照“流程覆盖、环节把控、职责明确”的工作思路，把内控制度体系建设作为根本，实现经办和管理工作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逐步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规范、有效运行，保障基金安全。一是健全综合内控制度。从组织机构、业务运行、基金财务、信息系统、内部控制等方面，制定内控制度、业务流程、岗位职责等，参保人员均按规定办理参保登记、个人账户信息修改、缴费等业务，严格执行统一的会计制度和收支业务审批制度，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医疗保险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基金按规定对基金分别建账、分账核算，基金收入户、支出户和财政专户按规定开设账户，严格实行收支两条线管理，全面实行全程电子化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收支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，杜绝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挤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占、挪用基金的现象，确保基金专款专用。二是建立完善内控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制度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，按规定设置岗位，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分配权限，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加强管理，严格遵守不相容职务相互分离的原则，业务审核岗位和审批岗位分离、审批岗位与计发待遇岗位分离、审批岗位与数据录入岗位分离、会计岗位与出纳岗位分离</w:t>
      </w:r>
      <w:r>
        <w:rPr>
          <w:rFonts w:cs="仿宋_GB2312" w:asciiTheme="minorEastAsia" w:hAnsiTheme="minorEastAsia" w:eastAsiaTheme="minorEastAsia"/>
          <w:sz w:val="30"/>
          <w:szCs w:val="30"/>
          <w:highlight w:val="none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无违反业务规程、信息系统操作流程规定以及岗位职责、审批权限，办理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保险业务、修改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保险信息的现象</w:t>
      </w:r>
      <w:r>
        <w:rPr>
          <w:rFonts w:cs="仿宋_GB2312" w:asciiTheme="minorEastAsia" w:hAnsiTheme="minorEastAsia" w:eastAsiaTheme="minorEastAsia"/>
          <w:sz w:val="30"/>
          <w:szCs w:val="30"/>
          <w:highlight w:val="none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财务与业务按月对账，按规定与基金开户银行、财政部门和上下级经办机构等核对基金的收付情况</w:t>
      </w:r>
      <w:r>
        <w:rPr>
          <w:rFonts w:cs="仿宋_GB2312" w:asciiTheme="minorEastAsia" w:hAnsiTheme="minorEastAsia" w:eastAsiaTheme="minorEastAsia"/>
          <w:sz w:val="30"/>
          <w:szCs w:val="30"/>
          <w:highlight w:val="none"/>
        </w:rPr>
        <w:t>;</w:t>
      </w:r>
      <w:r>
        <w:rPr>
          <w:rFonts w:hint="eastAsia" w:cs="仿宋_GB2312" w:asciiTheme="minorEastAsia" w:hAnsiTheme="minorEastAsia" w:eastAsiaTheme="minorEastAsia"/>
          <w:sz w:val="30"/>
          <w:szCs w:val="30"/>
          <w:highlight w:val="none"/>
        </w:rPr>
        <w:t>严格执行基金支付政策，足额发放待遇，做到不拖欠、不挪用、不挤占社保基金。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下一步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工作：</w:t>
      </w:r>
    </w:p>
    <w:p>
      <w:pPr>
        <w:keepNext w:val="0"/>
        <w:keepLines w:val="0"/>
        <w:pageBreakBefore w:val="0"/>
        <w:widowControl w:val="0"/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outlineLvl w:val="9"/>
        <w:rPr>
          <w:rFonts w:cs="仿宋_GB2312" w:asciiTheme="minorEastAsia" w:hAnsiTheme="minorEastAsia" w:eastAsiaTheme="minorEastAsia"/>
          <w:bCs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进一步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推进“全民参保计划”，积极采取措施、创新机制，扩大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医疗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保险覆盖面，强化基金征缴，做到应收尽收，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  <w:lang w:eastAsia="zh-CN"/>
        </w:rPr>
        <w:t>应保尽保</w:t>
      </w:r>
      <w:r>
        <w:rPr>
          <w:rFonts w:hint="eastAsia" w:cs="仿宋_GB2312" w:asciiTheme="minorEastAsia" w:hAnsiTheme="minorEastAsia" w:eastAsiaTheme="minorEastAsia"/>
          <w:bCs/>
          <w:kern w:val="0"/>
          <w:sz w:val="30"/>
          <w:szCs w:val="30"/>
          <w:highlight w:val="none"/>
        </w:rPr>
        <w:t>。做好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风险防控工作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加大对经办工作的监督，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梳理风险点，查找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薄弱点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，采取措施，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堵塞经办环节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中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的漏洞，规范经办机构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  <w:lang w:eastAsia="zh-CN"/>
        </w:rPr>
        <w:t>安全</w:t>
      </w:r>
      <w:r>
        <w:rPr>
          <w:rFonts w:hint="eastAsia" w:cs="仿宋_GB2312" w:asciiTheme="minorEastAsia" w:hAnsiTheme="minorEastAsia" w:eastAsiaTheme="minorEastAsia"/>
          <w:bCs/>
          <w:sz w:val="30"/>
          <w:szCs w:val="30"/>
          <w:highlight w:val="none"/>
        </w:rPr>
        <w:t>运行，确保基金安全。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640"/>
        <w:textAlignment w:val="auto"/>
        <w:outlineLvl w:val="9"/>
        <w:rPr>
          <w:rStyle w:val="19"/>
          <w:rFonts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</w:pPr>
      <w:r>
        <w:rPr>
          <w:rStyle w:val="19"/>
          <w:rFonts w:hint="eastAsia" w:cs="仿宋_GB2312" w:asciiTheme="minorEastAsia" w:hAnsiTheme="minorEastAsia" w:eastAsiaTheme="minorEastAsia"/>
          <w:b w:val="0"/>
          <w:spacing w:val="-4"/>
          <w:sz w:val="30"/>
          <w:szCs w:val="30"/>
          <w:highlight w:val="none"/>
        </w:rPr>
        <w:t>五、附表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ind w:firstLine="567"/>
        <w:textAlignment w:val="auto"/>
        <w:outlineLvl w:val="9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</w:pP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  <w:lang w:eastAsia="zh-CN"/>
        </w:rPr>
        <w:t>泽普县医疗</w:t>
      </w:r>
      <w:r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  <w:highlight w:val="none"/>
        </w:rPr>
        <w:t>保险支出绩效自评表</w:t>
      </w: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tbl>
      <w:tblPr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3"/>
        <w:gridCol w:w="607"/>
        <w:gridCol w:w="1174"/>
        <w:gridCol w:w="1173"/>
        <w:gridCol w:w="1540"/>
        <w:gridCol w:w="930"/>
        <w:gridCol w:w="719"/>
        <w:gridCol w:w="719"/>
        <w:gridCol w:w="718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578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泽普县医疗保险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578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(2020年度)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职工基本医疗保险基金支出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泽普县医疗保障局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9509.95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9509.95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223.7%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9509.95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9509.95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21271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1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习近平新时代中国特色社会主义思想为指导，贯彻《社会保险法》、《社会保险费征缴暂行条例》保障广大参保人员合法权益，确保医疗、生育保险待遇按时、足额发放。严格执行社会保险各项政策，使参保人员的获得感、幸福感不断增强，促进实现新疆社会和谐和长治久安。</w:t>
            </w:r>
          </w:p>
        </w:tc>
        <w:tc>
          <w:tcPr>
            <w:tcW w:w="36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通过项目的实施严格执行社会保险各项政策，使参保人员的获得感、幸福感不断增强，促进实现新疆社会和谐和长治久安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3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职工基本医疗基金支出预算执行率与序时进程偏离率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≥-10%或≤10%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生育保险基金支出预算执行率与序时进程偏离率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≥-10%或≤10%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职工基本医疗可支付月数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≥6个月或≤9个月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9个月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生育保险基金可支付月数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≥6个月或≤9个月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9个月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保障职工基本医疗保险参保人数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≥20019人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22483人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保障生育保险待遇享受人数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≥399人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545人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参保患者合规医疗费用应享受待遇金额与实际享受待遇金额差额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&lt;0.1%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医疗保险待遇发放准确率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4.17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按标准足额保障参保人员待遇支出 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≥99%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按时报送各项社会保险基金季报数据及分析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每季度结束后的，15日内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每季度结束后的，15日内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及时报送各项社会保险基金决算数据及分析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每年度结束后的，20日内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每年度结束后的，20日内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及时拨款，保障参加社会保险的各项社会保险待遇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30日内完成审核拨付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30日内完成审核拨付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4.16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保障各项社会保险待遇，维护社会和谐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按标准审核后足额发放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按标准审核后足额发放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严格执行各项社会保险政策，违规使用医疗保险基金的情况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社会面平稳有序，上访率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≤1%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7.50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职工基本医疗保险待遇享受人员满意度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＞90%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生育保险待遇享受人员满意度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＞90%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其他各项社会保险待遇享受人员满意度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＞90%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100%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581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tbl>
      <w:tblPr>
        <w:tblW w:w="85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1"/>
        <w:gridCol w:w="598"/>
        <w:gridCol w:w="1082"/>
        <w:gridCol w:w="1289"/>
        <w:gridCol w:w="1614"/>
        <w:gridCol w:w="1073"/>
        <w:gridCol w:w="709"/>
        <w:gridCol w:w="709"/>
        <w:gridCol w:w="619"/>
        <w:gridCol w:w="4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8578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泽普县医疗保险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支出绩效自评表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8578" w:type="dxa"/>
            <w:gridSpan w:val="10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(2020年度)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57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城乡居民基本医疗保险支出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9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2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泽普县医疗保障局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泽普县医疗保障局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年初预算数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15940.83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15940.83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14526.99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91.1%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其中：当年财政拨款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15940.83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15940.83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14526.99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上年结转资金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其他资金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  <w:tc>
          <w:tcPr>
            <w:tcW w:w="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4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预期目标</w:t>
            </w:r>
          </w:p>
        </w:tc>
        <w:tc>
          <w:tcPr>
            <w:tcW w:w="3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5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以习近平新时代中国特色社会主义思想为指导，贯彻《社会保险法》、《社会保险费征缴暂行条例》保障广大参保人员合法权益，确保医疗、生育保险待遇按时、足额发放。严格执行社会保险各项政策，使参保人员的获得感、幸福感不断增强，促进实现新疆社会和谐和长治久安</w:t>
            </w:r>
          </w:p>
        </w:tc>
        <w:tc>
          <w:tcPr>
            <w:tcW w:w="3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通过项目的实施严格执行社会保险各项政策，使参保人员的获得感、幸福感不断增强，促进实现新疆社会和谐和长治久安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6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0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实际完成值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分值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得分</w:t>
            </w:r>
          </w:p>
        </w:tc>
        <w:tc>
          <w:tcPr>
            <w:tcW w:w="110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偏差原因分析及改进措施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年度绩效指标完成情况</w:t>
            </w: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城乡居民基本医疗基金支出预算执行率与序时进程偏离率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≥-10%或≤10%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城乡居民基本医疗可支付月数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≥6个月或≤9个月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9个月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保障城乡居民基本医疗参保人数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≥190915人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190630人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参保患者合规医疗费用应享受待遇金额与实际享受待遇金额差额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&lt;0.1%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医疗保险待遇发放准确率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按标准足额保障参保人员待遇支出 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按时报送各项社会保险基金季报数据及分析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每季度结束后的，15日内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每季度结束后的，15日内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及时报送各项社会保险基金决算数据及分析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每年度结束后的，20日内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每年度结束后的，20日内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及时拨款，保障参加社会保险的各项社会保险待遇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30日内完成审核拨付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30日内完成审核拨付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基金使用符合政策规定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保障各项社会保险待遇，维护社会和谐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按标准审核后足额发放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按标准审核后足额发放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严格执行各项社会保险政策，违规使用医疗保险基金的情况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≤0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社会面平稳有序，上访率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≤1%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城乡居民基本医疗保险待遇享受人员满意度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＞90%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建档立卡贫困户待遇享受人员满意度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＞90%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7.6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0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总分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jc w:val="both"/>
        <w:rPr>
          <w:rFonts w:hint="eastAsia" w:cs="仿宋_GB2312" w:asciiTheme="minorEastAsia" w:hAnsiTheme="minorEastAsia" w:eastAsiaTheme="minorEastAsia"/>
          <w:bCs/>
          <w:spacing w:val="-4"/>
          <w:sz w:val="30"/>
          <w:szCs w:val="30"/>
        </w:rPr>
      </w:pPr>
    </w:p>
    <w:sectPr>
      <w:footerReference r:id="rId3" w:type="default"/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EF3810"/>
    <w:multiLevelType w:val="singleLevel"/>
    <w:tmpl w:val="DCEF381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CA6457"/>
    <w:rsid w:val="0000727F"/>
    <w:rsid w:val="00056465"/>
    <w:rsid w:val="000873E4"/>
    <w:rsid w:val="000A314D"/>
    <w:rsid w:val="000B6C35"/>
    <w:rsid w:val="000F165B"/>
    <w:rsid w:val="001077C8"/>
    <w:rsid w:val="00121AE4"/>
    <w:rsid w:val="00146AAD"/>
    <w:rsid w:val="00187D80"/>
    <w:rsid w:val="001B3A40"/>
    <w:rsid w:val="001B6CEB"/>
    <w:rsid w:val="001E2777"/>
    <w:rsid w:val="001E6AC1"/>
    <w:rsid w:val="001F3F14"/>
    <w:rsid w:val="002766A9"/>
    <w:rsid w:val="002B62F6"/>
    <w:rsid w:val="002C4738"/>
    <w:rsid w:val="00305CAA"/>
    <w:rsid w:val="00314008"/>
    <w:rsid w:val="00325819"/>
    <w:rsid w:val="00392327"/>
    <w:rsid w:val="003B4051"/>
    <w:rsid w:val="004001F8"/>
    <w:rsid w:val="004366A8"/>
    <w:rsid w:val="004973F4"/>
    <w:rsid w:val="004C274C"/>
    <w:rsid w:val="004D2E2A"/>
    <w:rsid w:val="004D3C61"/>
    <w:rsid w:val="004E1E22"/>
    <w:rsid w:val="00502BA7"/>
    <w:rsid w:val="0051288D"/>
    <w:rsid w:val="005162F1"/>
    <w:rsid w:val="00524E2F"/>
    <w:rsid w:val="00535153"/>
    <w:rsid w:val="00536224"/>
    <w:rsid w:val="00554F82"/>
    <w:rsid w:val="0056390D"/>
    <w:rsid w:val="005719B0"/>
    <w:rsid w:val="005A64FC"/>
    <w:rsid w:val="005B03B7"/>
    <w:rsid w:val="005D10D6"/>
    <w:rsid w:val="005D49DD"/>
    <w:rsid w:val="006146B0"/>
    <w:rsid w:val="0062003B"/>
    <w:rsid w:val="006713E5"/>
    <w:rsid w:val="00693597"/>
    <w:rsid w:val="006F1484"/>
    <w:rsid w:val="00723F4C"/>
    <w:rsid w:val="0073226C"/>
    <w:rsid w:val="00734DFA"/>
    <w:rsid w:val="00741077"/>
    <w:rsid w:val="00774FC7"/>
    <w:rsid w:val="007B4EB8"/>
    <w:rsid w:val="007D1529"/>
    <w:rsid w:val="00817F42"/>
    <w:rsid w:val="0084772A"/>
    <w:rsid w:val="00847D1B"/>
    <w:rsid w:val="00854116"/>
    <w:rsid w:val="00855E3A"/>
    <w:rsid w:val="00857832"/>
    <w:rsid w:val="00876626"/>
    <w:rsid w:val="00892FAA"/>
    <w:rsid w:val="008A2BAB"/>
    <w:rsid w:val="008B17D8"/>
    <w:rsid w:val="008D3A71"/>
    <w:rsid w:val="008E231B"/>
    <w:rsid w:val="008F28A7"/>
    <w:rsid w:val="008F7C92"/>
    <w:rsid w:val="00922CB9"/>
    <w:rsid w:val="00936E8B"/>
    <w:rsid w:val="00955D26"/>
    <w:rsid w:val="00962F90"/>
    <w:rsid w:val="00994B24"/>
    <w:rsid w:val="009B5D7E"/>
    <w:rsid w:val="009C31E6"/>
    <w:rsid w:val="009E5CD9"/>
    <w:rsid w:val="009F1302"/>
    <w:rsid w:val="009F4E7D"/>
    <w:rsid w:val="00A26421"/>
    <w:rsid w:val="00A40B0F"/>
    <w:rsid w:val="00A4293B"/>
    <w:rsid w:val="00A64271"/>
    <w:rsid w:val="00A67D50"/>
    <w:rsid w:val="00A8691A"/>
    <w:rsid w:val="00AC1946"/>
    <w:rsid w:val="00AD0FEC"/>
    <w:rsid w:val="00AD7835"/>
    <w:rsid w:val="00B40063"/>
    <w:rsid w:val="00B41F61"/>
    <w:rsid w:val="00B47A95"/>
    <w:rsid w:val="00B73497"/>
    <w:rsid w:val="00BA46E6"/>
    <w:rsid w:val="00BB200C"/>
    <w:rsid w:val="00BC5DAB"/>
    <w:rsid w:val="00C0269D"/>
    <w:rsid w:val="00C56C72"/>
    <w:rsid w:val="00C70524"/>
    <w:rsid w:val="00C772DB"/>
    <w:rsid w:val="00CA6457"/>
    <w:rsid w:val="00CB00EA"/>
    <w:rsid w:val="00CE2000"/>
    <w:rsid w:val="00D17F2E"/>
    <w:rsid w:val="00D25887"/>
    <w:rsid w:val="00D30354"/>
    <w:rsid w:val="00DA042F"/>
    <w:rsid w:val="00DF42A0"/>
    <w:rsid w:val="00E072CC"/>
    <w:rsid w:val="00E136AA"/>
    <w:rsid w:val="00E25910"/>
    <w:rsid w:val="00E46995"/>
    <w:rsid w:val="00E72813"/>
    <w:rsid w:val="00E769FE"/>
    <w:rsid w:val="00EA2CBE"/>
    <w:rsid w:val="00EE1F17"/>
    <w:rsid w:val="00F32FEE"/>
    <w:rsid w:val="00F61120"/>
    <w:rsid w:val="00F7692E"/>
    <w:rsid w:val="00FB10BB"/>
    <w:rsid w:val="00FC1988"/>
    <w:rsid w:val="00FF0F40"/>
    <w:rsid w:val="01116FEC"/>
    <w:rsid w:val="03F772FD"/>
    <w:rsid w:val="04EB4934"/>
    <w:rsid w:val="06EE7D0D"/>
    <w:rsid w:val="07B06AB5"/>
    <w:rsid w:val="09A50626"/>
    <w:rsid w:val="0BBC293C"/>
    <w:rsid w:val="0E504578"/>
    <w:rsid w:val="0FD720FF"/>
    <w:rsid w:val="1032273E"/>
    <w:rsid w:val="10763D0C"/>
    <w:rsid w:val="15491CAE"/>
    <w:rsid w:val="166879CC"/>
    <w:rsid w:val="168C3145"/>
    <w:rsid w:val="16B15AA0"/>
    <w:rsid w:val="16CD4749"/>
    <w:rsid w:val="171C5B78"/>
    <w:rsid w:val="188C016D"/>
    <w:rsid w:val="18E77BA9"/>
    <w:rsid w:val="1BA40D39"/>
    <w:rsid w:val="1BBB52E5"/>
    <w:rsid w:val="1C034BC6"/>
    <w:rsid w:val="1E454D74"/>
    <w:rsid w:val="1F5853BD"/>
    <w:rsid w:val="20317511"/>
    <w:rsid w:val="20453BCC"/>
    <w:rsid w:val="21C80C32"/>
    <w:rsid w:val="229D38C1"/>
    <w:rsid w:val="243C48F6"/>
    <w:rsid w:val="264F6850"/>
    <w:rsid w:val="27E953E0"/>
    <w:rsid w:val="28C8448A"/>
    <w:rsid w:val="2A4D4F48"/>
    <w:rsid w:val="2AA26AFF"/>
    <w:rsid w:val="2AE45F76"/>
    <w:rsid w:val="2B9D2A91"/>
    <w:rsid w:val="2BB8257B"/>
    <w:rsid w:val="2BCC1DE9"/>
    <w:rsid w:val="2DCC62C6"/>
    <w:rsid w:val="2DDF6276"/>
    <w:rsid w:val="30BE0F9C"/>
    <w:rsid w:val="30EE20E9"/>
    <w:rsid w:val="31F23AFE"/>
    <w:rsid w:val="32B252D2"/>
    <w:rsid w:val="332D5636"/>
    <w:rsid w:val="356A7949"/>
    <w:rsid w:val="36253DF0"/>
    <w:rsid w:val="36647542"/>
    <w:rsid w:val="367A4211"/>
    <w:rsid w:val="3710627F"/>
    <w:rsid w:val="37413820"/>
    <w:rsid w:val="37AF0FDF"/>
    <w:rsid w:val="37C45358"/>
    <w:rsid w:val="3B18242F"/>
    <w:rsid w:val="3B8F4ECA"/>
    <w:rsid w:val="3BB70555"/>
    <w:rsid w:val="3BC7304C"/>
    <w:rsid w:val="3C116DDF"/>
    <w:rsid w:val="3C887145"/>
    <w:rsid w:val="3F571153"/>
    <w:rsid w:val="40003FCF"/>
    <w:rsid w:val="41F46496"/>
    <w:rsid w:val="449C451D"/>
    <w:rsid w:val="45626ED2"/>
    <w:rsid w:val="466F183E"/>
    <w:rsid w:val="47FB44A6"/>
    <w:rsid w:val="48255E33"/>
    <w:rsid w:val="4AE1187D"/>
    <w:rsid w:val="4B8F32B1"/>
    <w:rsid w:val="4BDB7DA7"/>
    <w:rsid w:val="4C360DA2"/>
    <w:rsid w:val="4C5F7F78"/>
    <w:rsid w:val="4E642F34"/>
    <w:rsid w:val="4F026991"/>
    <w:rsid w:val="518D5FC4"/>
    <w:rsid w:val="53005138"/>
    <w:rsid w:val="54413F4E"/>
    <w:rsid w:val="5447318A"/>
    <w:rsid w:val="5766643B"/>
    <w:rsid w:val="58D75736"/>
    <w:rsid w:val="5BD37F56"/>
    <w:rsid w:val="5C4806EE"/>
    <w:rsid w:val="5D57207E"/>
    <w:rsid w:val="608C353B"/>
    <w:rsid w:val="630B3EA2"/>
    <w:rsid w:val="65201F62"/>
    <w:rsid w:val="659A0045"/>
    <w:rsid w:val="65C07533"/>
    <w:rsid w:val="66437D33"/>
    <w:rsid w:val="66966C22"/>
    <w:rsid w:val="684B0830"/>
    <w:rsid w:val="68972EF6"/>
    <w:rsid w:val="68EE19A1"/>
    <w:rsid w:val="69B91819"/>
    <w:rsid w:val="6AB95BCD"/>
    <w:rsid w:val="6C0A0ACE"/>
    <w:rsid w:val="6C74389A"/>
    <w:rsid w:val="6D747692"/>
    <w:rsid w:val="7093414A"/>
    <w:rsid w:val="70B07B00"/>
    <w:rsid w:val="71214FEF"/>
    <w:rsid w:val="74834C8F"/>
    <w:rsid w:val="7546593F"/>
    <w:rsid w:val="757C4A65"/>
    <w:rsid w:val="75AE4E59"/>
    <w:rsid w:val="75F6112B"/>
    <w:rsid w:val="76243622"/>
    <w:rsid w:val="77692F40"/>
    <w:rsid w:val="77716415"/>
    <w:rsid w:val="78F446DC"/>
    <w:rsid w:val="7A3750F0"/>
    <w:rsid w:val="7B270171"/>
    <w:rsid w:val="7BDE0F75"/>
    <w:rsid w:val="7D980D38"/>
    <w:rsid w:val="7E670D9A"/>
    <w:rsid w:val="7E7631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99"/>
    <w:pPr>
      <w:keepNext/>
      <w:widowControl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3"/>
    <w:qFormat/>
    <w:uiPriority w:val="99"/>
    <w:pPr>
      <w:keepNext/>
      <w:widowControl/>
      <w:spacing w:before="240" w:after="60"/>
      <w:jc w:val="left"/>
      <w:outlineLvl w:val="1"/>
    </w:pPr>
    <w:rPr>
      <w:rFonts w:ascii="Cambria" w:hAnsi="Cambria"/>
      <w:b/>
      <w:bCs/>
      <w:i/>
      <w:iCs/>
      <w:kern w:val="0"/>
      <w:sz w:val="28"/>
      <w:szCs w:val="28"/>
    </w:rPr>
  </w:style>
  <w:style w:type="paragraph" w:styleId="5">
    <w:name w:val="heading 3"/>
    <w:basedOn w:val="1"/>
    <w:next w:val="1"/>
    <w:link w:val="24"/>
    <w:qFormat/>
    <w:uiPriority w:val="99"/>
    <w:pPr>
      <w:keepNext/>
      <w:widowControl/>
      <w:spacing w:before="240" w:after="60"/>
      <w:jc w:val="left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6">
    <w:name w:val="heading 4"/>
    <w:basedOn w:val="1"/>
    <w:next w:val="1"/>
    <w:link w:val="25"/>
    <w:qFormat/>
    <w:uiPriority w:val="99"/>
    <w:pPr>
      <w:keepNext/>
      <w:widowControl/>
      <w:spacing w:before="240" w:after="60"/>
      <w:jc w:val="left"/>
      <w:outlineLvl w:val="3"/>
    </w:pPr>
    <w:rPr>
      <w:rFonts w:ascii="Calibri" w:hAnsi="Calibri"/>
      <w:b/>
      <w:bCs/>
      <w:kern w:val="0"/>
      <w:sz w:val="28"/>
      <w:szCs w:val="28"/>
    </w:rPr>
  </w:style>
  <w:style w:type="paragraph" w:styleId="7">
    <w:name w:val="heading 5"/>
    <w:basedOn w:val="1"/>
    <w:next w:val="1"/>
    <w:link w:val="26"/>
    <w:qFormat/>
    <w:uiPriority w:val="99"/>
    <w:pPr>
      <w:widowControl/>
      <w:spacing w:before="240" w:after="60"/>
      <w:jc w:val="left"/>
      <w:outlineLvl w:val="4"/>
    </w:pPr>
    <w:rPr>
      <w:rFonts w:ascii="Calibri" w:hAnsi="Calibri"/>
      <w:b/>
      <w:bCs/>
      <w:i/>
      <w:iCs/>
      <w:kern w:val="0"/>
      <w:sz w:val="26"/>
      <w:szCs w:val="26"/>
    </w:rPr>
  </w:style>
  <w:style w:type="paragraph" w:styleId="8">
    <w:name w:val="heading 6"/>
    <w:basedOn w:val="1"/>
    <w:next w:val="1"/>
    <w:link w:val="27"/>
    <w:qFormat/>
    <w:uiPriority w:val="99"/>
    <w:pPr>
      <w:widowControl/>
      <w:spacing w:before="240" w:after="60"/>
      <w:jc w:val="left"/>
      <w:outlineLvl w:val="5"/>
    </w:pPr>
    <w:rPr>
      <w:rFonts w:ascii="Calibri" w:hAnsi="Calibri"/>
      <w:b/>
      <w:bCs/>
      <w:kern w:val="0"/>
      <w:sz w:val="22"/>
      <w:szCs w:val="22"/>
    </w:rPr>
  </w:style>
  <w:style w:type="paragraph" w:styleId="9">
    <w:name w:val="heading 7"/>
    <w:basedOn w:val="1"/>
    <w:next w:val="1"/>
    <w:link w:val="28"/>
    <w:qFormat/>
    <w:uiPriority w:val="99"/>
    <w:pPr>
      <w:widowControl/>
      <w:spacing w:before="240" w:after="60"/>
      <w:jc w:val="left"/>
      <w:outlineLvl w:val="6"/>
    </w:pPr>
    <w:rPr>
      <w:rFonts w:ascii="Calibri" w:hAnsi="Calibri"/>
      <w:kern w:val="0"/>
      <w:sz w:val="24"/>
    </w:rPr>
  </w:style>
  <w:style w:type="paragraph" w:styleId="10">
    <w:name w:val="heading 8"/>
    <w:basedOn w:val="1"/>
    <w:next w:val="1"/>
    <w:link w:val="29"/>
    <w:qFormat/>
    <w:uiPriority w:val="99"/>
    <w:pPr>
      <w:widowControl/>
      <w:spacing w:before="240" w:after="60"/>
      <w:jc w:val="left"/>
      <w:outlineLvl w:val="7"/>
    </w:pPr>
    <w:rPr>
      <w:rFonts w:ascii="Calibri" w:hAnsi="Calibri"/>
      <w:i/>
      <w:iCs/>
      <w:kern w:val="0"/>
      <w:sz w:val="24"/>
    </w:rPr>
  </w:style>
  <w:style w:type="paragraph" w:styleId="11">
    <w:name w:val="heading 9"/>
    <w:basedOn w:val="1"/>
    <w:next w:val="1"/>
    <w:link w:val="30"/>
    <w:qFormat/>
    <w:uiPriority w:val="99"/>
    <w:pPr>
      <w:widowControl/>
      <w:spacing w:before="240" w:after="60"/>
      <w:jc w:val="left"/>
      <w:outlineLvl w:val="8"/>
    </w:pPr>
    <w:rPr>
      <w:rFonts w:ascii="Cambria" w:hAnsi="Cambria"/>
      <w:kern w:val="0"/>
      <w:sz w:val="22"/>
      <w:szCs w:val="2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31"/>
    <w:qFormat/>
    <w:uiPriority w:val="99"/>
    <w:pPr>
      <w:jc w:val="center"/>
    </w:pPr>
    <w:rPr>
      <w:rFonts w:eastAsia="方正小标宋简体"/>
      <w:b/>
      <w:bCs/>
      <w:sz w:val="44"/>
    </w:rPr>
  </w:style>
  <w:style w:type="paragraph" w:styleId="12">
    <w:name w:val="Balloon Text"/>
    <w:basedOn w:val="1"/>
    <w:link w:val="32"/>
    <w:semiHidden/>
    <w:qFormat/>
    <w:uiPriority w:val="99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5">
    <w:name w:val="Subtitle"/>
    <w:basedOn w:val="1"/>
    <w:next w:val="1"/>
    <w:link w:val="35"/>
    <w:qFormat/>
    <w:uiPriority w:val="99"/>
    <w:pPr>
      <w:widowControl/>
      <w:spacing w:after="60"/>
      <w:jc w:val="center"/>
      <w:outlineLvl w:val="1"/>
    </w:pPr>
    <w:rPr>
      <w:rFonts w:ascii="Cambria" w:hAnsi="Cambria"/>
      <w:kern w:val="0"/>
      <w:sz w:val="24"/>
    </w:rPr>
  </w:style>
  <w:style w:type="paragraph" w:styleId="16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  <w:sz w:val="24"/>
    </w:rPr>
  </w:style>
  <w:style w:type="paragraph" w:styleId="17">
    <w:name w:val="Title"/>
    <w:basedOn w:val="1"/>
    <w:next w:val="1"/>
    <w:link w:val="36"/>
    <w:qFormat/>
    <w:uiPriority w:val="99"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99"/>
    <w:rPr>
      <w:rFonts w:cs="Times New Roman"/>
      <w:b/>
      <w:bCs/>
    </w:rPr>
  </w:style>
  <w:style w:type="character" w:styleId="20">
    <w:name w:val="Emphasis"/>
    <w:basedOn w:val="18"/>
    <w:qFormat/>
    <w:uiPriority w:val="99"/>
    <w:rPr>
      <w:rFonts w:ascii="Calibri" w:hAnsi="Calibri" w:cs="Times New Roman"/>
      <w:b/>
      <w:i/>
      <w:iCs/>
    </w:rPr>
  </w:style>
  <w:style w:type="character" w:customStyle="1" w:styleId="22">
    <w:name w:val="标题 1 Char"/>
    <w:basedOn w:val="18"/>
    <w:link w:val="3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3">
    <w:name w:val="标题 2 Char"/>
    <w:basedOn w:val="18"/>
    <w:link w:val="4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4">
    <w:name w:val="标题 3 Char"/>
    <w:basedOn w:val="18"/>
    <w:link w:val="5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5">
    <w:name w:val="标题 4 Char"/>
    <w:basedOn w:val="18"/>
    <w:link w:val="6"/>
    <w:semiHidden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6">
    <w:name w:val="标题 5 Char"/>
    <w:basedOn w:val="18"/>
    <w:link w:val="7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7">
    <w:name w:val="标题 6 Char"/>
    <w:basedOn w:val="18"/>
    <w:link w:val="8"/>
    <w:semiHidden/>
    <w:qFormat/>
    <w:locked/>
    <w:uiPriority w:val="99"/>
    <w:rPr>
      <w:rFonts w:cs="Times New Roman"/>
      <w:b/>
      <w:bCs/>
    </w:rPr>
  </w:style>
  <w:style w:type="character" w:customStyle="1" w:styleId="28">
    <w:name w:val="标题 7 Char"/>
    <w:basedOn w:val="18"/>
    <w:link w:val="9"/>
    <w:semiHidden/>
    <w:qFormat/>
    <w:locked/>
    <w:uiPriority w:val="99"/>
    <w:rPr>
      <w:rFonts w:cs="Times New Roman"/>
      <w:sz w:val="24"/>
      <w:szCs w:val="24"/>
    </w:rPr>
  </w:style>
  <w:style w:type="character" w:customStyle="1" w:styleId="29">
    <w:name w:val="标题 8 Char"/>
    <w:basedOn w:val="18"/>
    <w:link w:val="10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30">
    <w:name w:val="标题 9 Char"/>
    <w:basedOn w:val="18"/>
    <w:link w:val="11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31">
    <w:name w:val="正文文本 Char"/>
    <w:basedOn w:val="18"/>
    <w:link w:val="2"/>
    <w:semiHidden/>
    <w:qFormat/>
    <w:uiPriority w:val="99"/>
    <w:rPr>
      <w:szCs w:val="24"/>
    </w:rPr>
  </w:style>
  <w:style w:type="character" w:customStyle="1" w:styleId="32">
    <w:name w:val="批注框文本 Char"/>
    <w:basedOn w:val="18"/>
    <w:link w:val="12"/>
    <w:semiHidden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33">
    <w:name w:val="页脚 Char"/>
    <w:basedOn w:val="18"/>
    <w:link w:val="1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4">
    <w:name w:val="页眉 Char"/>
    <w:basedOn w:val="18"/>
    <w:link w:val="14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35">
    <w:name w:val="副标题 Char"/>
    <w:basedOn w:val="18"/>
    <w:link w:val="15"/>
    <w:qFormat/>
    <w:locked/>
    <w:uiPriority w:val="99"/>
    <w:rPr>
      <w:rFonts w:ascii="Cambria" w:hAnsi="Cambria" w:eastAsia="宋体" w:cs="Times New Roman"/>
      <w:sz w:val="24"/>
      <w:szCs w:val="24"/>
    </w:rPr>
  </w:style>
  <w:style w:type="character" w:customStyle="1" w:styleId="36">
    <w:name w:val="标题 Char"/>
    <w:basedOn w:val="18"/>
    <w:link w:val="17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paragraph" w:customStyle="1" w:styleId="37">
    <w:name w:val="无间隔1"/>
    <w:basedOn w:val="1"/>
    <w:qFormat/>
    <w:uiPriority w:val="99"/>
    <w:pPr>
      <w:widowControl/>
      <w:jc w:val="left"/>
    </w:pPr>
    <w:rPr>
      <w:rFonts w:ascii="Calibri" w:hAnsi="Calibri"/>
      <w:kern w:val="0"/>
      <w:sz w:val="24"/>
      <w:szCs w:val="32"/>
      <w:lang w:eastAsia="en-US"/>
    </w:rPr>
  </w:style>
  <w:style w:type="paragraph" w:customStyle="1" w:styleId="38">
    <w:name w:val="列出段落1"/>
    <w:basedOn w:val="1"/>
    <w:qFormat/>
    <w:uiPriority w:val="99"/>
    <w:pPr>
      <w:widowControl/>
      <w:ind w:left="720"/>
      <w:contextualSpacing/>
      <w:jc w:val="left"/>
    </w:pPr>
    <w:rPr>
      <w:rFonts w:ascii="Calibri" w:hAnsi="Calibri"/>
      <w:kern w:val="0"/>
      <w:sz w:val="24"/>
      <w:lang w:eastAsia="en-US"/>
    </w:rPr>
  </w:style>
  <w:style w:type="paragraph" w:customStyle="1" w:styleId="39">
    <w:name w:val="引用1"/>
    <w:basedOn w:val="1"/>
    <w:next w:val="1"/>
    <w:link w:val="40"/>
    <w:qFormat/>
    <w:uiPriority w:val="99"/>
    <w:pPr>
      <w:widowControl/>
      <w:jc w:val="left"/>
    </w:pPr>
    <w:rPr>
      <w:rFonts w:ascii="Calibri" w:hAnsi="Calibri"/>
      <w:i/>
      <w:kern w:val="0"/>
      <w:sz w:val="24"/>
    </w:rPr>
  </w:style>
  <w:style w:type="character" w:customStyle="1" w:styleId="40">
    <w:name w:val="引用 Char"/>
    <w:basedOn w:val="18"/>
    <w:link w:val="39"/>
    <w:qFormat/>
    <w:locked/>
    <w:uiPriority w:val="99"/>
    <w:rPr>
      <w:rFonts w:cs="Times New Roman"/>
      <w:i/>
      <w:sz w:val="24"/>
      <w:szCs w:val="24"/>
    </w:rPr>
  </w:style>
  <w:style w:type="paragraph" w:customStyle="1" w:styleId="41">
    <w:name w:val="明显引用1"/>
    <w:basedOn w:val="1"/>
    <w:next w:val="1"/>
    <w:link w:val="42"/>
    <w:qFormat/>
    <w:uiPriority w:val="99"/>
    <w:pPr>
      <w:widowControl/>
      <w:ind w:left="720" w:right="720"/>
      <w:jc w:val="left"/>
    </w:pPr>
    <w:rPr>
      <w:rFonts w:ascii="Calibri" w:hAnsi="Calibri"/>
      <w:b/>
      <w:i/>
      <w:kern w:val="0"/>
      <w:sz w:val="24"/>
      <w:szCs w:val="22"/>
    </w:rPr>
  </w:style>
  <w:style w:type="character" w:customStyle="1" w:styleId="42">
    <w:name w:val="明显引用 Char"/>
    <w:basedOn w:val="18"/>
    <w:link w:val="41"/>
    <w:qFormat/>
    <w:locked/>
    <w:uiPriority w:val="99"/>
    <w:rPr>
      <w:rFonts w:cs="Times New Roman"/>
      <w:b/>
      <w:i/>
      <w:sz w:val="24"/>
    </w:rPr>
  </w:style>
  <w:style w:type="character" w:customStyle="1" w:styleId="43">
    <w:name w:val="Subtle Emphasis1"/>
    <w:qFormat/>
    <w:uiPriority w:val="99"/>
    <w:rPr>
      <w:i/>
      <w:color w:val="595959"/>
    </w:rPr>
  </w:style>
  <w:style w:type="character" w:customStyle="1" w:styleId="44">
    <w:name w:val="Intense Emphasis1"/>
    <w:basedOn w:val="18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45">
    <w:name w:val="Subtle Reference1"/>
    <w:basedOn w:val="18"/>
    <w:qFormat/>
    <w:uiPriority w:val="99"/>
    <w:rPr>
      <w:rFonts w:cs="Times New Roman"/>
      <w:sz w:val="24"/>
      <w:szCs w:val="24"/>
      <w:u w:val="single"/>
    </w:rPr>
  </w:style>
  <w:style w:type="character" w:customStyle="1" w:styleId="46">
    <w:name w:val="Intense Reference1"/>
    <w:basedOn w:val="18"/>
    <w:qFormat/>
    <w:uiPriority w:val="99"/>
    <w:rPr>
      <w:rFonts w:cs="Times New Roman"/>
      <w:b/>
      <w:sz w:val="24"/>
      <w:u w:val="single"/>
    </w:rPr>
  </w:style>
  <w:style w:type="character" w:customStyle="1" w:styleId="47">
    <w:name w:val="Book Title1"/>
    <w:basedOn w:val="18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8">
    <w:name w:val="TOC Heading1"/>
    <w:basedOn w:val="3"/>
    <w:next w:val="1"/>
    <w:semiHidden/>
    <w:qFormat/>
    <w:uiPriority w:val="99"/>
    <w:pPr>
      <w:outlineLvl w:val="9"/>
    </w:pPr>
    <w:rPr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19</Pages>
  <Words>9519</Words>
  <Characters>2142</Characters>
  <Lines>17</Lines>
  <Paragraphs>23</Paragraphs>
  <TotalTime>0</TotalTime>
  <ScaleCrop>false</ScaleCrop>
  <LinksUpToDate>false</LinksUpToDate>
  <CharactersWithSpaces>11638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2018-08-15T02:06:00Z</dcterms:created>
  <dc:creator>赵 恺（预算处）</dc:creator>
  <cp:lastModifiedBy>Administrator</cp:lastModifiedBy>
  <cp:lastPrinted>2020-04-14T10:42:00Z</cp:lastPrinted>
  <dcterms:modified xsi:type="dcterms:W3CDTF">2022-04-01T05:03:57Z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