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2"/>
        <w:rPr>
          <w:rFonts w:asciiTheme="minorEastAsia" w:hAnsiTheme="minorEastAsia" w:eastAsiaTheme="minorEastAsia"/>
          <w:sz w:val="30"/>
          <w:szCs w:val="30"/>
        </w:rPr>
      </w:pPr>
    </w:p>
    <w:p>
      <w:pPr>
        <w:pStyle w:val="2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  <w:lang w:eastAsia="zh-CN"/>
        </w:rPr>
        <w:t>泽普县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社会保险基金支出</w:t>
      </w: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bCs w:val="0"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绩效评价报告</w:t>
      </w:r>
    </w:p>
    <w:p>
      <w:pPr>
        <w:spacing w:line="560" w:lineRule="exact"/>
        <w:jc w:val="center"/>
        <w:rPr>
          <w:rFonts w:cs="黑体" w:asciiTheme="minorEastAsia" w:hAnsiTheme="minorEastAsia" w:eastAsiaTheme="minorEastAsia"/>
          <w:b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cs="黑体"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b/>
          <w:kern w:val="0"/>
          <w:sz w:val="30"/>
          <w:szCs w:val="30"/>
        </w:rPr>
        <w:t>（</w:t>
      </w:r>
      <w:r>
        <w:rPr>
          <w:rFonts w:cs="黑体" w:asciiTheme="minorEastAsia" w:hAnsiTheme="minorEastAsia" w:eastAsiaTheme="minorEastAsia"/>
          <w:b/>
          <w:kern w:val="0"/>
          <w:sz w:val="30"/>
          <w:szCs w:val="30"/>
        </w:rPr>
        <w:t>20</w:t>
      </w:r>
      <w:r>
        <w:rPr>
          <w:rFonts w:hint="eastAsia" w:cs="黑体" w:asciiTheme="minorEastAsia" w:hAnsiTheme="minorEastAsia" w:eastAsiaTheme="minorEastAsia"/>
          <w:b/>
          <w:kern w:val="0"/>
          <w:sz w:val="30"/>
          <w:szCs w:val="30"/>
          <w:lang w:val="en-US" w:eastAsia="zh-CN"/>
        </w:rPr>
        <w:t>20</w:t>
      </w:r>
      <w:r>
        <w:rPr>
          <w:rFonts w:hint="eastAsia" w:cs="黑体" w:asciiTheme="minorEastAsia" w:hAnsiTheme="minorEastAsia" w:eastAsiaTheme="minorEastAsia"/>
          <w:b/>
          <w:kern w:val="0"/>
          <w:sz w:val="30"/>
          <w:szCs w:val="30"/>
        </w:rPr>
        <w:t>年度）</w:t>
      </w: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cs="黑体" w:asciiTheme="minorEastAsia" w:hAnsiTheme="minorEastAsia" w:eastAsiaTheme="minorEastAsia"/>
          <w:bCs/>
          <w:kern w:val="0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项目名称：社会保险基金支出</w:t>
      </w:r>
    </w:p>
    <w:p>
      <w:pPr>
        <w:spacing w:line="560" w:lineRule="exact"/>
        <w:jc w:val="left"/>
        <w:rPr>
          <w:rFonts w:cs="黑体" w:asciiTheme="minorEastAsia" w:hAnsiTheme="minorEastAsia" w:eastAsiaTheme="minorEastAsia"/>
          <w:bCs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实施单位（公章）：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eastAsia="zh-CN"/>
        </w:rPr>
        <w:t>泽普县社会保险中心</w:t>
      </w: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</w:pP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负责人（签章）：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eastAsia="zh-CN"/>
        </w:rPr>
        <w:t>邓波</w:t>
      </w:r>
    </w:p>
    <w:p>
      <w:pPr>
        <w:spacing w:line="560" w:lineRule="exact"/>
        <w:ind w:firstLine="755" w:firstLineChars="236"/>
        <w:jc w:val="left"/>
        <w:rPr>
          <w:rFonts w:cs="黑体" w:asciiTheme="minorEastAsia" w:hAnsiTheme="minorEastAsia" w:eastAsiaTheme="minorEastAsia"/>
          <w:bCs/>
          <w:kern w:val="0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填报时间：</w:t>
      </w:r>
      <w:r>
        <w:rPr>
          <w:rFonts w:cs="黑体" w:asciiTheme="minorEastAsia" w:hAnsiTheme="minorEastAsia" w:eastAsiaTheme="minorEastAsia"/>
          <w:bCs/>
          <w:kern w:val="0"/>
          <w:sz w:val="32"/>
          <w:szCs w:val="32"/>
        </w:rPr>
        <w:t xml:space="preserve"> 20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2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年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月2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日</w:t>
      </w:r>
    </w:p>
    <w:p>
      <w:pPr>
        <w:spacing w:line="560" w:lineRule="exact"/>
        <w:ind w:firstLine="640"/>
        <w:rPr>
          <w:rStyle w:val="19"/>
          <w:rFonts w:cs="仿宋_GB2312" w:asciiTheme="minorEastAsia" w:hAnsiTheme="minorEastAsia" w:eastAsiaTheme="minorEastAsia"/>
          <w:bCs w:val="0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outlineLvl w:val="9"/>
        <w:rPr>
          <w:rStyle w:val="19"/>
          <w:rFonts w:cs="仿宋_GB2312" w:asciiTheme="minorEastAsia" w:hAnsiTheme="minorEastAsia" w:eastAsiaTheme="minorEastAsia"/>
          <w:bCs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</w:rPr>
        <w:t>一、社会保险基金收支余情况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Style w:val="19"/>
          <w:rFonts w:cs="仿宋_GB2312" w:asciiTheme="minorEastAsia" w:hAnsiTheme="minorEastAsia" w:eastAsiaTheme="minorEastAsia"/>
          <w:bCs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</w:rPr>
        <w:t>（一）社会保险基金情况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度，在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县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人社局、财政局的大力支持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　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和共同努力下，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社会保险工作取得了显著成绩。社会保险基金收入稳步增长，支出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不断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增加，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基金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总体运行平稳。确保了广大参保人员社会保险待遇的按时、足额发放，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社会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保险覆盖面逐步扩大。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在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进一步加强社会保险基金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风险防控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管理上，确保了基金的安全运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行。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hint="eastAsia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2020年泽普县机关事业事业养老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基金总收入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17750万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元（收入小计不含上下级往来），完成年度预算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98.35</w:t>
      </w:r>
      <w:r>
        <w:rPr>
          <w:rFonts w:cs="仿宋_GB2312" w:asciiTheme="minorEastAsia" w:hAnsiTheme="minorEastAsia" w:eastAsiaTheme="minorEastAsia"/>
          <w:bCs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。基金总支出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12257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元（含上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解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26万元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），完成年度预算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99.59</w:t>
      </w:r>
      <w:r>
        <w:rPr>
          <w:rFonts w:cs="仿宋_GB2312" w:asciiTheme="minorEastAsia" w:hAnsiTheme="minorEastAsia" w:eastAsiaTheme="minorEastAsia"/>
          <w:bCs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。基金当期结余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5493万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元，滚存结余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23393万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2020年泽普县城乡居民养老基金总收入4775万元（收入小计不含上下级往来），完成年度预算98.90%。基金总支出2799万元（支出小计不含上下级往来），完成年度预算100.18%。基金当期结余1976万元，滚存结余13170万元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（二）社会保险基金支出预算绩效目标设定情况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（包括基金支出预算目标及阶段性目标；项目用途和主要内容、涉及对象及人数范围等）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机关事业养老保险（改革）基金总支出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12307万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,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其中：基本养老金待遇支出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12293万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.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全年保障离退休人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员1757人的基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本养老金待遇发放。全年预算支出执行目标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至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105%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承诺在每月25日前按时足额发放养老金，首次待遇发放准确率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％以上，参保群众满意率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城乡居民养老保险基金总支出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2795万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,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其中：基础性养老金支出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2529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个人账户养老金支出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176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元，丧葬补助金支出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68万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元。全年保障到龄领取养老金人员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14626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人的养老金待遇发放。全年预算支出执行目标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至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105%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承诺在每月25日前按时足额发放养老金，首次待遇发放准确率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％以上，参保群众满意率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</w:rPr>
        <w:t>二、社会保险基金预算完成及运行情况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</w:rPr>
        <w:t>（一）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机关事业单位养老保险基金预算完成及运行情况分析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度机关事业单位养老保险基金收入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17750万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元，其中：保费收入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15800万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利息收入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213万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财政补助收入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1693万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元，其他收入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7万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元，转移收入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37万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元，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12257万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元，其中：基本养老金支出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12212万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元，转移支出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，上解上级支出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26万元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。基金当期结余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5493万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元，滚存结余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23393万元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机关事业单位养老保险（改革）基金保费收入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15800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元，较上年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15826万元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减少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26万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减少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0.16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完成年度预算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16271万元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的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97.10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机关事业单位养老保险（改革）基金待遇支出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12231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元，较上年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11557万元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增加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674万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元，增长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5.83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%，完成年度预算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12293万元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的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99.50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 xml:space="preserve">%。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（二）城乡居民养老保险基金预算完成及运行情况分析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度，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城乡居民养老保险基金总收入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4775万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元，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其中：个人缴费收入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1569万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元，财政补贴收入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3154万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元（缴费补助收入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510万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元，基础养老金补助收入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2594万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元，丧葬抚恤补助收入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元）利息收入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36万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元，其他收入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元，转移收入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6万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元。基金总支出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2799万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元,其中：基础养老金支出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2558万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元，个人账户养老金支出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147万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元，丧葬抚恤金支出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71万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元，转移支出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23万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元。基金当期结余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1976万元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，累计结余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13170万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度城乡居民养老保险个人缴费收入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1569万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（含代缴收入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0.43万元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）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，与去年同期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个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人缴费收入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1695万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（含代缴收入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178万元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）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相比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减少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126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减少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7.43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%,完成全年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个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人缴费收入预算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1627万元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的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96.43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%；基础性养老金支出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2558万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元，与去年同期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2450万元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相比增加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108万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元，增长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4.41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%，个人账户养老金支出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147万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元，与去年同期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187万元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相比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减少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40万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减少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21.39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城乡养老保险支出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2799万元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完成全年预算的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100.14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三、社会保险基金支出组织实施情况和绩效管理情况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（一）社会保险管理情况分析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color w:val="000000"/>
          <w:sz w:val="30"/>
          <w:szCs w:val="30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color w:val="000000"/>
          <w:sz w:val="30"/>
          <w:szCs w:val="30"/>
        </w:rPr>
        <w:t>是机关事业养老保险制度改革后，连续</w:t>
      </w:r>
      <w:r>
        <w:rPr>
          <w:rFonts w:hint="eastAsia" w:cs="仿宋_GB2312" w:asciiTheme="minorEastAsia" w:hAnsiTheme="minorEastAsia" w:eastAsiaTheme="minorEastAsia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cs="仿宋_GB2312" w:asciiTheme="minorEastAsia" w:hAnsiTheme="minorEastAsia" w:eastAsiaTheme="minorEastAsia"/>
          <w:bCs/>
          <w:color w:val="000000"/>
          <w:sz w:val="30"/>
          <w:szCs w:val="30"/>
        </w:rPr>
        <w:t>年同步调整机关事业单位退休人员养老金待遇。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</w:rPr>
        <w:t>（二）绩效目标完成情况分析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84" w:firstLineChars="200"/>
        <w:textAlignment w:val="auto"/>
        <w:outlineLvl w:val="9"/>
        <w:rPr>
          <w:rFonts w:cs="仿宋_GB2312" w:asciiTheme="minorEastAsia" w:hAnsiTheme="minorEastAsia" w:eastAsiaTheme="minorEastAsia"/>
          <w:bCs/>
          <w:spacing w:val="-4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全年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没有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机关事业和城乡居民养老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因为参保职工待遇问题引起上访问题，群众上访率为</w:t>
      </w:r>
      <w:r>
        <w:rPr>
          <w:rFonts w:cs="仿宋_GB2312" w:asciiTheme="minorEastAsia" w:hAnsiTheme="minorEastAsia" w:eastAsiaTheme="minorEastAsia"/>
          <w:bCs/>
          <w:spacing w:val="-4"/>
          <w:sz w:val="30"/>
          <w:szCs w:val="30"/>
        </w:rPr>
        <w:t>0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。社会保险待遇在规定时限内足额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发放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待遇，社会满意度</w:t>
      </w:r>
      <w:r>
        <w:rPr>
          <w:rFonts w:cs="仿宋_GB2312" w:asciiTheme="minorEastAsia" w:hAnsiTheme="minorEastAsia" w:eastAsiaTheme="minorEastAsia"/>
          <w:bCs/>
          <w:spacing w:val="-4"/>
          <w:sz w:val="30"/>
          <w:szCs w:val="30"/>
        </w:rPr>
        <w:t>95%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以上，圆满保障了退休人员的晚年生活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坚定维护了新疆社会稳定和长治久安。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Fonts w:asciiTheme="minorEastAsia" w:hAnsiTheme="minorEastAsia" w:eastAsiaTheme="minorEastAsia"/>
          <w:sz w:val="30"/>
          <w:szCs w:val="30"/>
        </w:rPr>
      </w:pPr>
      <w:r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</w:rPr>
        <w:t>1</w:t>
      </w: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</w:rPr>
        <w:t>、机关事业单位养老保险基金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机关事业单位养老保险（改革）基金待遇支出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12212万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元，较上年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11557万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元增加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655万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元，增长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5.67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%，完成年度预算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12293万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元的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99.34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 xml:space="preserve">%。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每月25日前按时足额发放养老金，首次待遇发放准确率</w:t>
      </w:r>
      <w:r>
        <w:rPr>
          <w:rFonts w:cs="仿宋_GB2312" w:asciiTheme="minorEastAsia" w:hAnsiTheme="minorEastAsia" w:eastAsiaTheme="minorEastAsia"/>
          <w:bCs/>
          <w:sz w:val="30"/>
          <w:szCs w:val="30"/>
        </w:rPr>
        <w:t>99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％以上，参保群众满意率</w:t>
      </w:r>
      <w:r>
        <w:rPr>
          <w:rFonts w:cs="仿宋_GB2312" w:asciiTheme="minorEastAsia" w:hAnsiTheme="minorEastAsia" w:eastAsiaTheme="minorEastAsia"/>
          <w:bCs/>
          <w:sz w:val="30"/>
          <w:szCs w:val="30"/>
        </w:rPr>
        <w:t>99%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2020年</w:t>
      </w:r>
      <w:r>
        <w:rPr>
          <w:rFonts w:hint="eastAsia" w:asciiTheme="minorEastAsia" w:hAnsiTheme="minorEastAsia" w:eastAsiaTheme="minorEastAsia"/>
          <w:sz w:val="30"/>
          <w:szCs w:val="30"/>
        </w:rPr>
        <w:t>机关事业单位养老保险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离退休人员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1739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人较上年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1722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人</w:t>
      </w:r>
      <w:r>
        <w:rPr>
          <w:rFonts w:hint="eastAsia" w:asciiTheme="minorEastAsia" w:hAnsiTheme="minorEastAsia" w:eastAsiaTheme="minorEastAsia"/>
          <w:bCs/>
          <w:sz w:val="30"/>
          <w:szCs w:val="30"/>
          <w:lang w:eastAsia="zh-CN"/>
        </w:rPr>
        <w:t>净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增加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人，增长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0.98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%，</w:t>
      </w:r>
      <w:r>
        <w:rPr>
          <w:rFonts w:hint="eastAsia" w:asciiTheme="minorEastAsia" w:hAnsiTheme="minorEastAsia" w:eastAsiaTheme="minorEastAsia"/>
          <w:sz w:val="30"/>
          <w:szCs w:val="30"/>
        </w:rPr>
        <w:t>全年增加基本养老金支出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655万</w:t>
      </w:r>
      <w:r>
        <w:rPr>
          <w:rFonts w:hint="eastAsia" w:asciiTheme="minorEastAsia" w:hAnsiTheme="minorEastAsia" w:eastAsiaTheme="minorEastAsia"/>
          <w:sz w:val="30"/>
          <w:szCs w:val="30"/>
        </w:rPr>
        <w:t>元。继续调整提高退休人员养老金水平，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泽普县</w:t>
      </w:r>
      <w:r>
        <w:rPr>
          <w:rFonts w:hint="eastAsia" w:asciiTheme="minorEastAsia" w:hAnsiTheme="minorEastAsia" w:eastAsiaTheme="minorEastAsia"/>
          <w:sz w:val="30"/>
          <w:szCs w:val="30"/>
        </w:rPr>
        <w:t>人均月增加养老金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228.64</w:t>
      </w:r>
      <w:r>
        <w:rPr>
          <w:rFonts w:hint="eastAsia" w:asciiTheme="minorEastAsia" w:hAnsiTheme="minorEastAsia" w:eastAsiaTheme="minorEastAsia"/>
          <w:sz w:val="30"/>
          <w:szCs w:val="30"/>
        </w:rPr>
        <w:t>元，调整幅度4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.62</w:t>
      </w:r>
      <w:r>
        <w:rPr>
          <w:rFonts w:hint="eastAsia" w:asciiTheme="minorEastAsia" w:hAnsiTheme="minorEastAsia" w:eastAsiaTheme="minorEastAsia"/>
          <w:sz w:val="30"/>
          <w:szCs w:val="30"/>
        </w:rPr>
        <w:t>%，全年增加基金支出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334万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  <w:lang w:val="en-US" w:eastAsia="zh-CN"/>
        </w:rPr>
        <w:t>2</w:t>
      </w: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</w:rPr>
        <w:t>、城乡居民养老保险基金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2799万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元,其中：基础养老金支出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2558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与上年同期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2450万元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相比增加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108万元，增长4.41%，完成预算2795万元的100.14%，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每月25日前按时足额发放养老金，首次待遇发放准确率</w:t>
      </w:r>
      <w:r>
        <w:rPr>
          <w:rFonts w:cs="仿宋_GB2312" w:asciiTheme="minorEastAsia" w:hAnsiTheme="minorEastAsia" w:eastAsiaTheme="minorEastAsia"/>
          <w:bCs/>
          <w:sz w:val="30"/>
          <w:szCs w:val="30"/>
        </w:rPr>
        <w:t>99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％以上，参保群众满意率</w:t>
      </w:r>
      <w:r>
        <w:rPr>
          <w:rFonts w:cs="仿宋_GB2312" w:asciiTheme="minorEastAsia" w:hAnsiTheme="minorEastAsia" w:eastAsiaTheme="minorEastAsia"/>
          <w:bCs/>
          <w:sz w:val="30"/>
          <w:szCs w:val="30"/>
        </w:rPr>
        <w:t>99%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全年保障领取养老金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待遇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人员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14334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人的养老金发放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2558万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支付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死亡人员丧葬费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71万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元。转移基本养老金支出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23万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outlineLvl w:val="9"/>
        <w:rPr>
          <w:rStyle w:val="19"/>
          <w:rFonts w:cs="仿宋_GB2312" w:asciiTheme="minorEastAsia" w:hAnsiTheme="minorEastAsia" w:eastAsiaTheme="minorEastAsia"/>
          <w:bCs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</w:rPr>
        <w:t>四、其他需要说明的问题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养老保险按国家统一安排、同步调整企业和机关事业单位退休人员基本养老金。继续推动机关事业单位养老保险改革，全面实现参保缴费、待遇发放和新办法计发。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84" w:firstLineChars="200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</w:rPr>
        <w:t>主要经验及做法、存在问题和建议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是实施“十三五”规划的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收关之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年，也是社会保障事业发展进入新阶段、实现新发展的关键之年。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泽普经办机构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以基金安全运行为根本，以提高管理服务水平为重点，严格执行社会保险各项政策，建立健全内部控制制度，确保待遇发放，基金运行总体平稳。通过逐步提高保险待遇支付标准，使参保人员的获得感、幸福感不断增强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社保经办机构按照“流程覆盖、环节把控、职责明确”的工作思路，把内控制度体系建设作为根本，实现经办和管理工作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逐步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规范、有效运行，保障基金安全。一是健全综合内控制度。从组织机构、业务运行、基金财务、信息系统、内部控制等方面，制定内控制度、业务流程、岗位职责等，参保人员均按规定办理参保登记、个人账户信息修改、缴费等业务，严格执行统一的会计制度和收支业务审批制度，社保基金按规定对基金分别建账、分账核算，基金收入户、支出户和财政专户按规定开设账户，严格实行收支两条线管理，全面实行全程电子化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收支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，杜绝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挤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占、挪用基金的现象，确保基金专款专用。二是建立完善内控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制度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，按规定设置岗位，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分配权限，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加强管理，严格遵守不相容职务相互分离的原则，业务审核岗位和审批岗位分离、审批岗位与计发待遇岗位分离、审批岗位与数据录入岗位分离、会计岗位与出纳岗位分离</w:t>
      </w:r>
      <w:r>
        <w:rPr>
          <w:rFonts w:cs="仿宋_GB2312" w:asciiTheme="minorEastAsia" w:hAnsiTheme="minorEastAsia" w:eastAsiaTheme="minorEastAsia"/>
          <w:sz w:val="30"/>
          <w:szCs w:val="30"/>
        </w:rPr>
        <w:t>;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无违反业务规程、信息系统操作流程规定以及岗位职责、审批权限，办理社会保险业务、修改社会保险信息的现象</w:t>
      </w:r>
      <w:r>
        <w:rPr>
          <w:rFonts w:cs="仿宋_GB2312" w:asciiTheme="minorEastAsia" w:hAnsiTheme="minorEastAsia" w:eastAsiaTheme="minorEastAsia"/>
          <w:sz w:val="30"/>
          <w:szCs w:val="30"/>
        </w:rPr>
        <w:t>;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财务与业务按月对账，按规定与基金开户银行、财政部门和上下级经办机构等核对基金的收付情况</w:t>
      </w:r>
      <w:r>
        <w:rPr>
          <w:rFonts w:cs="仿宋_GB2312" w:asciiTheme="minorEastAsia" w:hAnsiTheme="minorEastAsia" w:eastAsiaTheme="minorEastAsia"/>
          <w:sz w:val="30"/>
          <w:szCs w:val="30"/>
        </w:rPr>
        <w:t>;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严格执行基金支付政策，足额发放待遇，做到不拖欠、不挪用、不挤占社保基金。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但还存在</w:t>
      </w:r>
      <w:r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</w:rPr>
        <w:t>以下问题：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</w:rPr>
        <w:t>一是</w:t>
      </w:r>
      <w:r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  <w:lang w:eastAsia="zh-CN"/>
        </w:rPr>
        <w:t>城乡居民养老保险因财政资金困难，县级配套资金未能补足，存在着挤占个人账户情况。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</w:rPr>
        <w:t>二是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工作人员业务经办水平有待提高，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经办操作中解决问题能力不强，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对业务经办人员的培训工作有待加强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下一步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工作：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进一步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推进“全民参保计划”，积极采取措施、创新机制，扩大社会保险覆盖面，强化基金征缴，做到应收尽收，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应保尽保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。做好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风险防控工作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加大对经办工作的监督，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梳理风险点，查找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薄弱点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，采取措施，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堵塞经办环节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中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的漏洞，规范经办机构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安全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运行，确保基金安全。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</w:rPr>
        <w:t>五、附表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社会保险支出绩效自评表</w:t>
      </w:r>
    </w:p>
    <w:p>
      <w:pPr>
        <w:pStyle w:val="2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tbl>
      <w:tblPr>
        <w:tblStyle w:val="21"/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1091"/>
        <w:gridCol w:w="1385"/>
        <w:gridCol w:w="456"/>
        <w:gridCol w:w="724"/>
        <w:gridCol w:w="2114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85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喀什地区社会保险支出绩效自评表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机关事业单位养老保险基金支出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社会保险基金预算支出部门</w:t>
            </w:r>
          </w:p>
        </w:tc>
        <w:tc>
          <w:tcPr>
            <w:tcW w:w="5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泽普县社会保险中心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预算执行情况</w:t>
            </w:r>
          </w:p>
        </w:tc>
        <w:tc>
          <w:tcPr>
            <w:tcW w:w="2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12307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年度目标完成情况</w:t>
            </w:r>
          </w:p>
        </w:tc>
        <w:tc>
          <w:tcPr>
            <w:tcW w:w="36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聚焦总目标，确保我县离退休人员按期足额领取养老金待遇，按期调整待遇，让离退休人员享受国家发展改革成果，安享晚年，确保社会和谐和长治久安。</w:t>
            </w:r>
          </w:p>
        </w:tc>
        <w:tc>
          <w:tcPr>
            <w:tcW w:w="4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普县严格执行社保基金管理法规政策，按期足额发放养老金待遇，调增离退休人员基本养老金，安享晚年，保证参保人员权益，未发生基金管理运行风险。完成年度预算的100.4%，达到了预期目标，确保了社会和谐和长治久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参保缴费人数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8180人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绩效目标完成情况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保障退休待遇人数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基本养老收入预算执行率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基本养老支出预算执行率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养老保险待遇首次发放成功率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养老金首次转移成功率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养老金发放时效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每月25日前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基金使用符合政策规定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项目效益指标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让离退休人员安享晚年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充分发挥社会保险的职能作用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充分发挥社会保险的职能作用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可持续影响力指标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离退休人员上访率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上访率控制在0.1%以内，维护社会和谐，长治久安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上访率0，维护社会和谐，长治久安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离休退人员满意度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tbl>
      <w:tblPr>
        <w:tblStyle w:val="21"/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044"/>
        <w:gridCol w:w="1321"/>
        <w:gridCol w:w="405"/>
        <w:gridCol w:w="1002"/>
        <w:gridCol w:w="1899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85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泽普县社会保险支出绩效自评表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城乡居民养老保险基金支出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社会保险基金预算支出部门</w:t>
            </w:r>
          </w:p>
        </w:tc>
        <w:tc>
          <w:tcPr>
            <w:tcW w:w="5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泽普县社会保险中心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预算执行情况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4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2794</w:t>
            </w: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2794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年度目标完成情况</w:t>
            </w:r>
          </w:p>
        </w:tc>
        <w:tc>
          <w:tcPr>
            <w:tcW w:w="377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聚焦总目标，确保离退休人员按期足额领取养老金待遇，按期调整待遇，让离退休人员享受国家发展改革成果，安享晚年，确保社会和谐和长治久安。</w:t>
            </w:r>
          </w:p>
        </w:tc>
        <w:tc>
          <w:tcPr>
            <w:tcW w:w="4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普县社会保险中心严格执行社保基金管理法规政策，按期足额发放养老金待遇，调增离退休人员基本养老金，安享晚年，保证参保人员权益，未发生基金管理运行风险。完成年度预算的100.18%，达到了预期目标，确保了社会和谐和长治久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参保缴费人数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85082人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保障退休待遇人数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基本养老收入预算执行率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基本养老支出预算执行率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养老保险待遇首次发放成功率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养老金首次转移成功率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养老金发放时效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每月25日前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基金使用符合政策规定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项目效益指标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让离退休人员安享晚年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充分发挥社会保险的职能作用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充分发挥社会保险的职能作用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可持续影响力指标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离退休人员上访率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上访率控制在0.1%以内，维护社会和谐，长治久安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上访率0，维护社会和谐，长治久安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离休退人员满意度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EF3810"/>
    <w:multiLevelType w:val="singleLevel"/>
    <w:tmpl w:val="DCEF38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CA6457"/>
    <w:rsid w:val="0000727F"/>
    <w:rsid w:val="00056465"/>
    <w:rsid w:val="000873E4"/>
    <w:rsid w:val="000A314D"/>
    <w:rsid w:val="000B6C35"/>
    <w:rsid w:val="000F165B"/>
    <w:rsid w:val="001077C8"/>
    <w:rsid w:val="00121AE4"/>
    <w:rsid w:val="00146AAD"/>
    <w:rsid w:val="00187D80"/>
    <w:rsid w:val="001B3A40"/>
    <w:rsid w:val="001B6CEB"/>
    <w:rsid w:val="001E2777"/>
    <w:rsid w:val="001E6AC1"/>
    <w:rsid w:val="001F3F14"/>
    <w:rsid w:val="002766A9"/>
    <w:rsid w:val="002B62F6"/>
    <w:rsid w:val="002C4738"/>
    <w:rsid w:val="00305CAA"/>
    <w:rsid w:val="00314008"/>
    <w:rsid w:val="00325819"/>
    <w:rsid w:val="00392327"/>
    <w:rsid w:val="003B4051"/>
    <w:rsid w:val="004001F8"/>
    <w:rsid w:val="004366A8"/>
    <w:rsid w:val="004973F4"/>
    <w:rsid w:val="004C274C"/>
    <w:rsid w:val="004D2E2A"/>
    <w:rsid w:val="004D3C61"/>
    <w:rsid w:val="004E1E22"/>
    <w:rsid w:val="00502BA7"/>
    <w:rsid w:val="0051288D"/>
    <w:rsid w:val="005162F1"/>
    <w:rsid w:val="00524E2F"/>
    <w:rsid w:val="00535153"/>
    <w:rsid w:val="00536224"/>
    <w:rsid w:val="00554F82"/>
    <w:rsid w:val="0056390D"/>
    <w:rsid w:val="005719B0"/>
    <w:rsid w:val="005A64FC"/>
    <w:rsid w:val="005B03B7"/>
    <w:rsid w:val="005D10D6"/>
    <w:rsid w:val="005D49DD"/>
    <w:rsid w:val="006146B0"/>
    <w:rsid w:val="0062003B"/>
    <w:rsid w:val="006713E5"/>
    <w:rsid w:val="00693597"/>
    <w:rsid w:val="006F1484"/>
    <w:rsid w:val="00723F4C"/>
    <w:rsid w:val="0073226C"/>
    <w:rsid w:val="00734DFA"/>
    <w:rsid w:val="00741077"/>
    <w:rsid w:val="00774FC7"/>
    <w:rsid w:val="007B4EB8"/>
    <w:rsid w:val="007D1529"/>
    <w:rsid w:val="00817F42"/>
    <w:rsid w:val="0084772A"/>
    <w:rsid w:val="00847D1B"/>
    <w:rsid w:val="00854116"/>
    <w:rsid w:val="00855E3A"/>
    <w:rsid w:val="00857832"/>
    <w:rsid w:val="00876626"/>
    <w:rsid w:val="00892FAA"/>
    <w:rsid w:val="008A2BAB"/>
    <w:rsid w:val="008B17D8"/>
    <w:rsid w:val="008D3A71"/>
    <w:rsid w:val="008E231B"/>
    <w:rsid w:val="008F28A7"/>
    <w:rsid w:val="008F7C92"/>
    <w:rsid w:val="00922CB9"/>
    <w:rsid w:val="00936E8B"/>
    <w:rsid w:val="00955D26"/>
    <w:rsid w:val="00962F90"/>
    <w:rsid w:val="00994B24"/>
    <w:rsid w:val="009B5D7E"/>
    <w:rsid w:val="009C31E6"/>
    <w:rsid w:val="009E5CD9"/>
    <w:rsid w:val="009F1302"/>
    <w:rsid w:val="009F4E7D"/>
    <w:rsid w:val="00A26421"/>
    <w:rsid w:val="00A40B0F"/>
    <w:rsid w:val="00A4293B"/>
    <w:rsid w:val="00A64271"/>
    <w:rsid w:val="00A67D50"/>
    <w:rsid w:val="00A8691A"/>
    <w:rsid w:val="00AC1946"/>
    <w:rsid w:val="00AD0FEC"/>
    <w:rsid w:val="00AD7835"/>
    <w:rsid w:val="00B40063"/>
    <w:rsid w:val="00B41F61"/>
    <w:rsid w:val="00B47A95"/>
    <w:rsid w:val="00B73497"/>
    <w:rsid w:val="00BA46E6"/>
    <w:rsid w:val="00BB200C"/>
    <w:rsid w:val="00BC5DAB"/>
    <w:rsid w:val="00C0269D"/>
    <w:rsid w:val="00C56C72"/>
    <w:rsid w:val="00C70524"/>
    <w:rsid w:val="00C772DB"/>
    <w:rsid w:val="00CA6457"/>
    <w:rsid w:val="00CE2000"/>
    <w:rsid w:val="00D17F2E"/>
    <w:rsid w:val="00D25887"/>
    <w:rsid w:val="00D30354"/>
    <w:rsid w:val="00DA042F"/>
    <w:rsid w:val="00DF42A0"/>
    <w:rsid w:val="00E072CC"/>
    <w:rsid w:val="00E136AA"/>
    <w:rsid w:val="00E25910"/>
    <w:rsid w:val="00E46995"/>
    <w:rsid w:val="00E72813"/>
    <w:rsid w:val="00E769FE"/>
    <w:rsid w:val="00EA2CBE"/>
    <w:rsid w:val="00EE1F17"/>
    <w:rsid w:val="00F32FEE"/>
    <w:rsid w:val="00F61120"/>
    <w:rsid w:val="00F7692E"/>
    <w:rsid w:val="00FB10BB"/>
    <w:rsid w:val="00FC1988"/>
    <w:rsid w:val="00FF0F40"/>
    <w:rsid w:val="01116FEC"/>
    <w:rsid w:val="03F772FD"/>
    <w:rsid w:val="04EB4934"/>
    <w:rsid w:val="06EE7D0D"/>
    <w:rsid w:val="07B06AB5"/>
    <w:rsid w:val="09A50626"/>
    <w:rsid w:val="0BBC293C"/>
    <w:rsid w:val="0E504578"/>
    <w:rsid w:val="0FD720FF"/>
    <w:rsid w:val="1032273E"/>
    <w:rsid w:val="10763D0C"/>
    <w:rsid w:val="166879CC"/>
    <w:rsid w:val="168C3145"/>
    <w:rsid w:val="16B15AA0"/>
    <w:rsid w:val="16CD4749"/>
    <w:rsid w:val="171C5B78"/>
    <w:rsid w:val="18E77BA9"/>
    <w:rsid w:val="1BA40D39"/>
    <w:rsid w:val="1BBB52E5"/>
    <w:rsid w:val="1C034BC6"/>
    <w:rsid w:val="1E454D74"/>
    <w:rsid w:val="1F5853BD"/>
    <w:rsid w:val="1FB8043B"/>
    <w:rsid w:val="20317511"/>
    <w:rsid w:val="20453BCC"/>
    <w:rsid w:val="21C80C32"/>
    <w:rsid w:val="229D38C1"/>
    <w:rsid w:val="264F6850"/>
    <w:rsid w:val="27E953E0"/>
    <w:rsid w:val="28C8448A"/>
    <w:rsid w:val="2A4D4F48"/>
    <w:rsid w:val="2AA26AFF"/>
    <w:rsid w:val="2AE45F76"/>
    <w:rsid w:val="2B9D2A91"/>
    <w:rsid w:val="2BB8257B"/>
    <w:rsid w:val="2BCC1DE9"/>
    <w:rsid w:val="2DCC62C6"/>
    <w:rsid w:val="2DDF6276"/>
    <w:rsid w:val="30BE0F9C"/>
    <w:rsid w:val="30EE20E9"/>
    <w:rsid w:val="31F23AFE"/>
    <w:rsid w:val="32B252D2"/>
    <w:rsid w:val="332D5636"/>
    <w:rsid w:val="356A7949"/>
    <w:rsid w:val="36253DF0"/>
    <w:rsid w:val="36647542"/>
    <w:rsid w:val="367A4211"/>
    <w:rsid w:val="3710627F"/>
    <w:rsid w:val="37413820"/>
    <w:rsid w:val="37C45358"/>
    <w:rsid w:val="3BB70555"/>
    <w:rsid w:val="3BC7304C"/>
    <w:rsid w:val="3C887145"/>
    <w:rsid w:val="41F46496"/>
    <w:rsid w:val="449C451D"/>
    <w:rsid w:val="45626ED2"/>
    <w:rsid w:val="466F183E"/>
    <w:rsid w:val="47FB44A6"/>
    <w:rsid w:val="48255E33"/>
    <w:rsid w:val="4AE1187D"/>
    <w:rsid w:val="4B8F32B1"/>
    <w:rsid w:val="4BDB7DA7"/>
    <w:rsid w:val="4C360DA2"/>
    <w:rsid w:val="4C5F7F78"/>
    <w:rsid w:val="4E642F34"/>
    <w:rsid w:val="518D5FC4"/>
    <w:rsid w:val="53005138"/>
    <w:rsid w:val="54413F4E"/>
    <w:rsid w:val="5447318A"/>
    <w:rsid w:val="58D75736"/>
    <w:rsid w:val="5BD37F56"/>
    <w:rsid w:val="5C4806EE"/>
    <w:rsid w:val="5D57207E"/>
    <w:rsid w:val="5DF106D5"/>
    <w:rsid w:val="608C353B"/>
    <w:rsid w:val="65201F62"/>
    <w:rsid w:val="659A0045"/>
    <w:rsid w:val="65C07533"/>
    <w:rsid w:val="66437D33"/>
    <w:rsid w:val="66966C22"/>
    <w:rsid w:val="684B0830"/>
    <w:rsid w:val="68972EF6"/>
    <w:rsid w:val="68EE19A1"/>
    <w:rsid w:val="69B91819"/>
    <w:rsid w:val="6AB95BCD"/>
    <w:rsid w:val="6C0A0ACE"/>
    <w:rsid w:val="6C74389A"/>
    <w:rsid w:val="6D747692"/>
    <w:rsid w:val="70B07B00"/>
    <w:rsid w:val="71214FEF"/>
    <w:rsid w:val="7546593F"/>
    <w:rsid w:val="757C4A65"/>
    <w:rsid w:val="75AE4E59"/>
    <w:rsid w:val="75F6112B"/>
    <w:rsid w:val="76243622"/>
    <w:rsid w:val="77692F40"/>
    <w:rsid w:val="77716415"/>
    <w:rsid w:val="78F446DC"/>
    <w:rsid w:val="7B270171"/>
    <w:rsid w:val="7BDE0F75"/>
    <w:rsid w:val="7D980D38"/>
    <w:rsid w:val="7E670D9A"/>
    <w:rsid w:val="7E763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9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3"/>
    <w:qFormat/>
    <w:uiPriority w:val="9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5">
    <w:name w:val="heading 3"/>
    <w:basedOn w:val="1"/>
    <w:next w:val="1"/>
    <w:link w:val="24"/>
    <w:qFormat/>
    <w:uiPriority w:val="9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6">
    <w:name w:val="heading 4"/>
    <w:basedOn w:val="1"/>
    <w:next w:val="1"/>
    <w:link w:val="25"/>
    <w:qFormat/>
    <w:uiPriority w:val="99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26"/>
    <w:qFormat/>
    <w:uiPriority w:val="99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8">
    <w:name w:val="heading 6"/>
    <w:basedOn w:val="1"/>
    <w:next w:val="1"/>
    <w:link w:val="27"/>
    <w:qFormat/>
    <w:uiPriority w:val="99"/>
    <w:pPr>
      <w:widowControl/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</w:rPr>
  </w:style>
  <w:style w:type="paragraph" w:styleId="9">
    <w:name w:val="heading 7"/>
    <w:basedOn w:val="1"/>
    <w:next w:val="1"/>
    <w:link w:val="28"/>
    <w:qFormat/>
    <w:uiPriority w:val="99"/>
    <w:pPr>
      <w:widowControl/>
      <w:spacing w:before="240" w:after="60"/>
      <w:jc w:val="left"/>
      <w:outlineLvl w:val="6"/>
    </w:pPr>
    <w:rPr>
      <w:rFonts w:ascii="Calibri" w:hAnsi="Calibri"/>
      <w:kern w:val="0"/>
      <w:sz w:val="24"/>
    </w:rPr>
  </w:style>
  <w:style w:type="paragraph" w:styleId="10">
    <w:name w:val="heading 8"/>
    <w:basedOn w:val="1"/>
    <w:next w:val="1"/>
    <w:link w:val="29"/>
    <w:qFormat/>
    <w:uiPriority w:val="99"/>
    <w:pPr>
      <w:widowControl/>
      <w:spacing w:before="240" w:after="60"/>
      <w:jc w:val="left"/>
      <w:outlineLvl w:val="7"/>
    </w:pPr>
    <w:rPr>
      <w:rFonts w:ascii="Calibri" w:hAnsi="Calibri"/>
      <w:i/>
      <w:iCs/>
      <w:kern w:val="0"/>
      <w:sz w:val="24"/>
    </w:rPr>
  </w:style>
  <w:style w:type="paragraph" w:styleId="11">
    <w:name w:val="heading 9"/>
    <w:basedOn w:val="1"/>
    <w:next w:val="1"/>
    <w:link w:val="30"/>
    <w:qFormat/>
    <w:uiPriority w:val="99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qFormat/>
    <w:uiPriority w:val="99"/>
    <w:pPr>
      <w:jc w:val="center"/>
    </w:pPr>
    <w:rPr>
      <w:rFonts w:eastAsia="方正小标宋简体"/>
      <w:b/>
      <w:bCs/>
      <w:sz w:val="44"/>
    </w:rPr>
  </w:style>
  <w:style w:type="paragraph" w:styleId="12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5">
    <w:name w:val="Subtitle"/>
    <w:basedOn w:val="1"/>
    <w:next w:val="1"/>
    <w:link w:val="35"/>
    <w:qFormat/>
    <w:uiPriority w:val="99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1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link w:val="36"/>
    <w:qFormat/>
    <w:uiPriority w:val="99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19">
    <w:name w:val="Strong"/>
    <w:basedOn w:val="18"/>
    <w:qFormat/>
    <w:uiPriority w:val="99"/>
    <w:rPr>
      <w:rFonts w:cs="Times New Roman"/>
      <w:b/>
      <w:bCs/>
    </w:rPr>
  </w:style>
  <w:style w:type="character" w:styleId="20">
    <w:name w:val="Emphasis"/>
    <w:basedOn w:val="18"/>
    <w:qFormat/>
    <w:uiPriority w:val="99"/>
    <w:rPr>
      <w:rFonts w:ascii="Calibri" w:hAnsi="Calibri" w:cs="Times New Roman"/>
      <w:b/>
      <w:i/>
      <w:iCs/>
    </w:rPr>
  </w:style>
  <w:style w:type="character" w:customStyle="1" w:styleId="22">
    <w:name w:val="标题 1 Char"/>
    <w:basedOn w:val="18"/>
    <w:link w:val="3"/>
    <w:qFormat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3">
    <w:name w:val="标题 2 Char"/>
    <w:basedOn w:val="18"/>
    <w:link w:val="4"/>
    <w:semiHidden/>
    <w:qFormat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4">
    <w:name w:val="标题 3 Char"/>
    <w:basedOn w:val="18"/>
    <w:link w:val="5"/>
    <w:semiHidden/>
    <w:qFormat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5">
    <w:name w:val="标题 4 Char"/>
    <w:basedOn w:val="18"/>
    <w:link w:val="6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6">
    <w:name w:val="标题 5 Char"/>
    <w:basedOn w:val="18"/>
    <w:link w:val="7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7">
    <w:name w:val="标题 6 Char"/>
    <w:basedOn w:val="18"/>
    <w:link w:val="8"/>
    <w:semiHidden/>
    <w:qFormat/>
    <w:locked/>
    <w:uiPriority w:val="99"/>
    <w:rPr>
      <w:rFonts w:cs="Times New Roman"/>
      <w:b/>
      <w:bCs/>
    </w:rPr>
  </w:style>
  <w:style w:type="character" w:customStyle="1" w:styleId="28">
    <w:name w:val="标题 7 Char"/>
    <w:basedOn w:val="18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标题 8 Char"/>
    <w:basedOn w:val="18"/>
    <w:link w:val="10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30">
    <w:name w:val="标题 9 Char"/>
    <w:basedOn w:val="18"/>
    <w:link w:val="11"/>
    <w:semiHidden/>
    <w:qFormat/>
    <w:locked/>
    <w:uiPriority w:val="99"/>
    <w:rPr>
      <w:rFonts w:ascii="Cambria" w:hAnsi="Cambria" w:eastAsia="宋体" w:cs="Times New Roman"/>
    </w:rPr>
  </w:style>
  <w:style w:type="character" w:customStyle="1" w:styleId="31">
    <w:name w:val="正文文本 Char"/>
    <w:basedOn w:val="18"/>
    <w:link w:val="2"/>
    <w:semiHidden/>
    <w:qFormat/>
    <w:uiPriority w:val="99"/>
    <w:rPr>
      <w:szCs w:val="24"/>
    </w:rPr>
  </w:style>
  <w:style w:type="character" w:customStyle="1" w:styleId="32">
    <w:name w:val="批注框文本 Char"/>
    <w:basedOn w:val="18"/>
    <w:link w:val="12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页脚 Char"/>
    <w:basedOn w:val="18"/>
    <w:link w:val="1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页眉 Char"/>
    <w:basedOn w:val="18"/>
    <w:link w:val="1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5">
    <w:name w:val="副标题 Char"/>
    <w:basedOn w:val="18"/>
    <w:link w:val="15"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36">
    <w:name w:val="标题 Char"/>
    <w:basedOn w:val="18"/>
    <w:link w:val="1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无间隔1"/>
    <w:basedOn w:val="1"/>
    <w:qFormat/>
    <w:uiPriority w:val="99"/>
    <w:pPr>
      <w:widowControl/>
      <w:jc w:val="left"/>
    </w:pPr>
    <w:rPr>
      <w:rFonts w:ascii="Calibri" w:hAnsi="Calibri"/>
      <w:kern w:val="0"/>
      <w:sz w:val="24"/>
      <w:szCs w:val="32"/>
      <w:lang w:eastAsia="en-US"/>
    </w:rPr>
  </w:style>
  <w:style w:type="paragraph" w:customStyle="1" w:styleId="38">
    <w:name w:val="列出段落1"/>
    <w:basedOn w:val="1"/>
    <w:qFormat/>
    <w:uiPriority w:val="99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39">
    <w:name w:val="引用1"/>
    <w:basedOn w:val="1"/>
    <w:next w:val="1"/>
    <w:link w:val="40"/>
    <w:qFormat/>
    <w:uiPriority w:val="99"/>
    <w:pPr>
      <w:widowControl/>
      <w:jc w:val="left"/>
    </w:pPr>
    <w:rPr>
      <w:rFonts w:ascii="Calibri" w:hAnsi="Calibri"/>
      <w:i/>
      <w:kern w:val="0"/>
      <w:sz w:val="24"/>
    </w:rPr>
  </w:style>
  <w:style w:type="character" w:customStyle="1" w:styleId="40">
    <w:name w:val="引用 Char"/>
    <w:basedOn w:val="18"/>
    <w:link w:val="39"/>
    <w:qFormat/>
    <w:locked/>
    <w:uiPriority w:val="99"/>
    <w:rPr>
      <w:rFonts w:cs="Times New Roman"/>
      <w:i/>
      <w:sz w:val="24"/>
      <w:szCs w:val="24"/>
    </w:rPr>
  </w:style>
  <w:style w:type="paragraph" w:customStyle="1" w:styleId="41">
    <w:name w:val="明显引用1"/>
    <w:basedOn w:val="1"/>
    <w:next w:val="1"/>
    <w:link w:val="42"/>
    <w:qFormat/>
    <w:uiPriority w:val="99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2"/>
    </w:rPr>
  </w:style>
  <w:style w:type="character" w:customStyle="1" w:styleId="42">
    <w:name w:val="明显引用 Char"/>
    <w:basedOn w:val="18"/>
    <w:link w:val="41"/>
    <w:qFormat/>
    <w:locked/>
    <w:uiPriority w:val="99"/>
    <w:rPr>
      <w:rFonts w:cs="Times New Roman"/>
      <w:b/>
      <w:i/>
      <w:sz w:val="24"/>
    </w:rPr>
  </w:style>
  <w:style w:type="character" w:customStyle="1" w:styleId="43">
    <w:name w:val="Subtle Emphasis1"/>
    <w:qFormat/>
    <w:uiPriority w:val="99"/>
    <w:rPr>
      <w:i/>
      <w:color w:val="595959"/>
    </w:rPr>
  </w:style>
  <w:style w:type="character" w:customStyle="1" w:styleId="44">
    <w:name w:val="Intense Emphasis1"/>
    <w:basedOn w:val="18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45">
    <w:name w:val="Subtle Reference1"/>
    <w:basedOn w:val="18"/>
    <w:qFormat/>
    <w:uiPriority w:val="99"/>
    <w:rPr>
      <w:rFonts w:cs="Times New Roman"/>
      <w:sz w:val="24"/>
      <w:szCs w:val="24"/>
      <w:u w:val="single"/>
    </w:rPr>
  </w:style>
  <w:style w:type="character" w:customStyle="1" w:styleId="46">
    <w:name w:val="Intense Reference1"/>
    <w:basedOn w:val="18"/>
    <w:qFormat/>
    <w:uiPriority w:val="99"/>
    <w:rPr>
      <w:rFonts w:cs="Times New Roman"/>
      <w:b/>
      <w:sz w:val="24"/>
      <w:u w:val="single"/>
    </w:rPr>
  </w:style>
  <w:style w:type="character" w:customStyle="1" w:styleId="47">
    <w:name w:val="Book Title1"/>
    <w:basedOn w:val="18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48">
    <w:name w:val="TOC Heading1"/>
    <w:basedOn w:val="3"/>
    <w:next w:val="1"/>
    <w:semiHidden/>
    <w:qFormat/>
    <w:uiPriority w:val="99"/>
    <w:pPr>
      <w:outlineLvl w:val="9"/>
    </w:pPr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9519</Words>
  <Characters>2142</Characters>
  <Lines>17</Lines>
  <Paragraphs>23</Paragraphs>
  <TotalTime>6</TotalTime>
  <ScaleCrop>false</ScaleCrop>
  <LinksUpToDate>false</LinksUpToDate>
  <CharactersWithSpaces>11638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Administrator</cp:lastModifiedBy>
  <cp:lastPrinted>2020-04-14T10:42:00Z</cp:lastPrinted>
  <dcterms:modified xsi:type="dcterms:W3CDTF">2022-04-01T05:14:48Z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