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pStyle w:val="2"/>
        <w:rPr>
          <w:rFonts w:asciiTheme="minorEastAsia" w:hAnsiTheme="minorEastAsia" w:eastAsiaTheme="minorEastAsia"/>
          <w:sz w:val="30"/>
          <w:szCs w:val="30"/>
        </w:rPr>
      </w:pPr>
    </w:p>
    <w:p>
      <w:pPr>
        <w:pStyle w:val="2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</w:pP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  <w:lang w:eastAsia="zh-CN"/>
        </w:rPr>
        <w:t>泽普县</w:t>
      </w: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社会保险基金支出</w:t>
      </w:r>
    </w:p>
    <w:p>
      <w:pPr>
        <w:spacing w:line="560" w:lineRule="exact"/>
        <w:jc w:val="center"/>
        <w:rPr>
          <w:rFonts w:hint="eastAsia" w:ascii="方正小标宋简体" w:eastAsia="方正小标宋简体" w:cs="黑体" w:hAnsiTheme="minorEastAsia"/>
          <w:b/>
          <w:bCs w:val="0"/>
          <w:kern w:val="0"/>
          <w:sz w:val="44"/>
          <w:szCs w:val="44"/>
        </w:rPr>
      </w:pP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绩效评价报告</w:t>
      </w:r>
    </w:p>
    <w:p>
      <w:pPr>
        <w:spacing w:line="560" w:lineRule="exact"/>
        <w:jc w:val="center"/>
        <w:rPr>
          <w:rFonts w:cs="黑体" w:asciiTheme="minorEastAsia" w:hAnsiTheme="minorEastAsia" w:eastAsiaTheme="minorEastAsia"/>
          <w:b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cs="黑体"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b/>
          <w:kern w:val="0"/>
          <w:sz w:val="30"/>
          <w:szCs w:val="30"/>
        </w:rPr>
        <w:t>（</w:t>
      </w:r>
      <w:r>
        <w:rPr>
          <w:rFonts w:cs="黑体" w:asciiTheme="minorEastAsia" w:hAnsiTheme="minorEastAsia" w:eastAsiaTheme="minorEastAsia"/>
          <w:b/>
          <w:kern w:val="0"/>
          <w:sz w:val="30"/>
          <w:szCs w:val="30"/>
        </w:rPr>
        <w:t>20</w:t>
      </w:r>
      <w:r>
        <w:rPr>
          <w:rFonts w:hint="eastAsia" w:cs="黑体" w:asciiTheme="minorEastAsia" w:hAnsiTheme="minorEastAsia" w:eastAsiaTheme="minorEastAsia"/>
          <w:b/>
          <w:kern w:val="0"/>
          <w:sz w:val="30"/>
          <w:szCs w:val="30"/>
          <w:lang w:val="en-US" w:eastAsia="zh-CN"/>
        </w:rPr>
        <w:t>21</w:t>
      </w:r>
      <w:r>
        <w:rPr>
          <w:rFonts w:hint="eastAsia" w:cs="黑体" w:asciiTheme="minorEastAsia" w:hAnsiTheme="minorEastAsia" w:eastAsiaTheme="minorEastAsia"/>
          <w:b/>
          <w:kern w:val="0"/>
          <w:sz w:val="30"/>
          <w:szCs w:val="30"/>
        </w:rPr>
        <w:t>年度）</w:t>
      </w:r>
    </w:p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ind w:firstLine="640" w:firstLineChars="200"/>
        <w:jc w:val="left"/>
        <w:rPr>
          <w:rFonts w:cs="黑体" w:asciiTheme="minorEastAsia" w:hAnsiTheme="minorEastAsia" w:eastAsiaTheme="minorEastAsia"/>
          <w:bCs/>
          <w:kern w:val="0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项目名称：社会保险基金支出</w:t>
      </w:r>
    </w:p>
    <w:p>
      <w:pPr>
        <w:spacing w:line="560" w:lineRule="exact"/>
        <w:jc w:val="left"/>
        <w:rPr>
          <w:rFonts w:cs="黑体" w:asciiTheme="minorEastAsia" w:hAnsiTheme="minorEastAsia" w:eastAsiaTheme="minorEastAsia"/>
          <w:bCs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实施单位（公章）：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eastAsia="zh-CN"/>
        </w:rPr>
        <w:t>泽普县社会保险中心</w:t>
      </w:r>
    </w:p>
    <w:p>
      <w:pPr>
        <w:spacing w:line="560" w:lineRule="exact"/>
        <w:ind w:firstLine="755" w:firstLineChars="236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755" w:firstLineChars="236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</w:pPr>
    </w:p>
    <w:p>
      <w:pPr>
        <w:spacing w:line="560" w:lineRule="exact"/>
        <w:ind w:firstLine="755" w:firstLineChars="236"/>
        <w:jc w:val="left"/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负责人（签章）：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eastAsia="zh-CN"/>
        </w:rPr>
        <w:t>邓波</w:t>
      </w:r>
    </w:p>
    <w:p>
      <w:pPr>
        <w:spacing w:line="560" w:lineRule="exact"/>
        <w:ind w:firstLine="755" w:firstLineChars="236"/>
        <w:jc w:val="left"/>
        <w:rPr>
          <w:rFonts w:cs="黑体" w:asciiTheme="minorEastAsia" w:hAnsiTheme="minorEastAsia" w:eastAsiaTheme="minorEastAsia"/>
          <w:bCs/>
          <w:kern w:val="0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填报时间：</w:t>
      </w:r>
      <w:r>
        <w:rPr>
          <w:rFonts w:cs="黑体" w:asciiTheme="minorEastAsia" w:hAnsiTheme="minorEastAsia" w:eastAsiaTheme="minorEastAsia"/>
          <w:bCs/>
          <w:kern w:val="0"/>
          <w:sz w:val="32"/>
          <w:szCs w:val="32"/>
        </w:rPr>
        <w:t xml:space="preserve"> 20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2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年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月2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 w:eastAsiaTheme="minorEastAsia"/>
          <w:bCs/>
          <w:kern w:val="0"/>
          <w:sz w:val="32"/>
          <w:szCs w:val="32"/>
        </w:rPr>
        <w:t>日</w:t>
      </w:r>
    </w:p>
    <w:p>
      <w:pPr>
        <w:spacing w:line="560" w:lineRule="exact"/>
        <w:ind w:firstLine="640"/>
        <w:rPr>
          <w:rStyle w:val="19"/>
          <w:rFonts w:cs="仿宋_GB2312" w:asciiTheme="minorEastAsia" w:hAnsiTheme="minorEastAsia" w:eastAsiaTheme="minorEastAsia"/>
          <w:bCs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outlineLvl w:val="9"/>
        <w:rPr>
          <w:rStyle w:val="19"/>
          <w:rFonts w:cs="仿宋_GB2312" w:asciiTheme="minorEastAsia" w:hAnsiTheme="minorEastAsia" w:eastAsiaTheme="minorEastAsia"/>
          <w:bCs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</w:rPr>
        <w:t>一、社会保险基金收支余情况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Style w:val="19"/>
          <w:rFonts w:cs="仿宋_GB2312" w:asciiTheme="minorEastAsia" w:hAnsiTheme="minorEastAsia" w:eastAsiaTheme="minorEastAsia"/>
          <w:bCs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</w:rPr>
        <w:t>（一）社会保险基金情况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bCs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202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年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度，在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县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人社局、财政局的大力支持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　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和共同努力下，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社会保险工作取得了显著成绩。社会保险基金收入稳步增长，支出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不断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增加，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基金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总体运行平稳。确保了广大参保人员社会保险待遇的按时、足额发放，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社会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保险覆盖面逐步扩大。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在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进一步加强社会保险基金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风险防控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管理上，确保了基金的安全运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hint="eastAsia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202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年泽普县机关事业事业养老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基金总收入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18919万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元（收入小计不含上下级往来），完成年度预算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18400万元的102.87</w:t>
      </w:r>
      <w:r>
        <w:rPr>
          <w:rFonts w:cs="仿宋_GB2312" w:asciiTheme="minorEastAsia" w:hAnsiTheme="minorEastAsia" w:eastAsiaTheme="minorEastAsia"/>
          <w:bCs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。基金总支出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13178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完成年度预算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13356万元的98.66</w:t>
      </w:r>
      <w:r>
        <w:rPr>
          <w:rFonts w:cs="仿宋_GB2312" w:asciiTheme="minorEastAsia" w:hAnsiTheme="minorEastAsia" w:eastAsiaTheme="minorEastAsia"/>
          <w:bCs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。基金当期结余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5741万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元，滚存结余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29135万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2021年泽普县城乡居民养老基金总收入5210万元（收入小计不含上下级往来），完成年度预算5134万元的101.48%。基金总支出3079万元（支出小计不含上下级往来），完成年度预算2940万元的104.73%。基金当期结余2131万元，滚存结余15301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kern w:val="0"/>
          <w:sz w:val="30"/>
          <w:szCs w:val="30"/>
        </w:rPr>
        <w:t>（二）社会保险基金支出预算绩效目标设定情况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（包括基金支出预算目标及阶段性目标；项目用途和主要内容、涉及对象及人数范围等）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both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机关事业养老保险（改革）基金总支出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13356万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,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其中：基本养老金待遇支出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13328万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.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全年保障离退休人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员1830人的基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本养老金待遇发放。全年预算支出执行目标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至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105%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承诺在每月25日前按时足额发放养老金，首次待遇发放准确率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％以上，参保群众满意率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both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城乡居民养老保险基金总支出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2940万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,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其中：基础性养老金支出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2656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个人账户养老金支出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223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元，丧葬补助金支出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35万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元。全年保障到龄领取养老金人员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15003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人的养老金待遇发放。全年预算支出执行目标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至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105%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承诺在每月25日前按时足额发放养老金，首次待遇发放准确率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％以上，参保群众满意率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9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</w:t>
      </w:r>
      <w:r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/>
          <w:bCs/>
          <w:kern w:val="0"/>
          <w:sz w:val="30"/>
          <w:szCs w:val="30"/>
        </w:rPr>
        <w:t>二、社会保险基金预算完成及运行情况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/>
          <w:bCs/>
          <w:kern w:val="0"/>
          <w:sz w:val="30"/>
          <w:szCs w:val="30"/>
        </w:rPr>
        <w:t>（一）</w:t>
      </w:r>
      <w:r>
        <w:rPr>
          <w:rFonts w:hint="eastAsia" w:asciiTheme="minorEastAsia" w:hAnsiTheme="minorEastAsia" w:eastAsiaTheme="minorEastAsia"/>
          <w:b/>
          <w:kern w:val="0"/>
          <w:sz w:val="30"/>
          <w:szCs w:val="30"/>
        </w:rPr>
        <w:t>机关事业单位养老保险基金预算完成及运行情况分析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both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2020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度机关事业单位养老保险基金收入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18919万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元，其中：保费收入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15913万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利息收入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240万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财政补助收入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2744万元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元，其他收入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12万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元，转移收入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元，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基金总支出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13178万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元，其中：基本养老金支出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13141万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元，转移支出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37万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基金当期结余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5741万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元，滚存结余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29135万元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机关事业单位养老保险（改革）基金保费收入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15913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亿元，较上年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15800万元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增加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113万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元，增长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0.72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完成年度预算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16464万元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的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96.65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机关事业单位养老保险（改革）基金待遇支出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13141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元，较上年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12212万元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增加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929万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元，增长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7.61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%，完成年度预算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13328万元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的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98.60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 xml:space="preserve">%。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kern w:val="0"/>
          <w:sz w:val="30"/>
          <w:szCs w:val="30"/>
        </w:rPr>
        <w:t>（二）城乡居民养老保险基金预算完成及运行情况分析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度，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城乡居民养老保险基金总收入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5210万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元，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其中：个人缴费收入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1898万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元，财政补贴收入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2960万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元（缴费补助收入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428万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元，基础养老金补助收入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2532万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元，丧葬抚恤补助收入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元）利息收入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83万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委托投资收益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150万元，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其他收入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103万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元，转移收入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16万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元。基金总支出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3079万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元,其中：基础养老金支出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2712万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元，个人账户养老金支出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242万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元，丧葬抚恤金支出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元，转移支出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26万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元。基金当期结余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2131万元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，累计结余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15301万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度城乡居民养老保险个人缴费收入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1898万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（含代缴收入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223.27万元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，与去年同期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个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人缴费收入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1569万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（含代缴收入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0.43万元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相比增加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329万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元，增长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20.97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%,完成全年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个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人缴费收入预算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1691万元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的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112.24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%；基础性养老金支出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2712万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元，与去年同期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2558万元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相比增加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154万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元，增长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6.02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%，个人账户养老金支出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242万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元，与去年同期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147万元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相比增加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95万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元，增长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64.63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城乡养老保险支出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3079万元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完成全年预算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2940万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元的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104.73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kern w:val="0"/>
          <w:sz w:val="30"/>
          <w:szCs w:val="30"/>
        </w:rPr>
        <w:t>三、社会保险基金支出组织实施情况和绩效管理情况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2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kern w:val="0"/>
          <w:sz w:val="30"/>
          <w:szCs w:val="30"/>
        </w:rPr>
        <w:t>（一）社会保险管理情况分析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color w:val="00000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color w:val="000000"/>
          <w:sz w:val="30"/>
          <w:szCs w:val="30"/>
          <w:lang w:eastAsia="zh-CN"/>
        </w:rPr>
        <w:t>202</w:t>
      </w:r>
      <w:r>
        <w:rPr>
          <w:rFonts w:hint="eastAsia" w:cs="仿宋_GB2312" w:asciiTheme="minorEastAsia" w:hAnsiTheme="minorEastAsia" w:eastAsiaTheme="minorEastAsia"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bCs/>
          <w:color w:val="000000"/>
          <w:sz w:val="30"/>
          <w:szCs w:val="30"/>
          <w:lang w:eastAsia="zh-CN"/>
        </w:rPr>
        <w:t>年</w:t>
      </w:r>
      <w:r>
        <w:rPr>
          <w:rFonts w:hint="eastAsia" w:cs="仿宋_GB2312" w:asciiTheme="minorEastAsia" w:hAnsiTheme="minorEastAsia" w:eastAsiaTheme="minorEastAsia"/>
          <w:bCs/>
          <w:color w:val="000000"/>
          <w:sz w:val="30"/>
          <w:szCs w:val="30"/>
        </w:rPr>
        <w:t>是机关事业养老保险制度改革后，连续</w:t>
      </w:r>
      <w:r>
        <w:rPr>
          <w:rFonts w:hint="eastAsia" w:cs="仿宋_GB2312" w:asciiTheme="minorEastAsia" w:hAnsiTheme="minorEastAsia" w:eastAsiaTheme="minorEastAsia"/>
          <w:bCs/>
          <w:color w:val="000000"/>
          <w:sz w:val="30"/>
          <w:szCs w:val="30"/>
          <w:lang w:val="en-US" w:eastAsia="zh-CN"/>
        </w:rPr>
        <w:t>5</w:t>
      </w:r>
      <w:r>
        <w:rPr>
          <w:rFonts w:hint="eastAsia" w:cs="仿宋_GB2312" w:asciiTheme="minorEastAsia" w:hAnsiTheme="minorEastAsia" w:eastAsiaTheme="minorEastAsia"/>
          <w:bCs/>
          <w:color w:val="000000"/>
          <w:sz w:val="30"/>
          <w:szCs w:val="30"/>
        </w:rPr>
        <w:t>年同步调整机关事业单位退休人员养老金待遇。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</w:rPr>
        <w:t>（二）绩效目标完成情况分析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84" w:firstLineChars="200"/>
        <w:textAlignment w:val="auto"/>
        <w:outlineLvl w:val="9"/>
        <w:rPr>
          <w:rFonts w:cs="仿宋_GB2312" w:asciiTheme="minorEastAsia" w:hAnsiTheme="minorEastAsia" w:eastAsiaTheme="minorEastAsia"/>
          <w:bCs/>
          <w:spacing w:val="-4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eastAsia="zh-CN"/>
        </w:rPr>
        <w:t>202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eastAsia="zh-CN"/>
        </w:rPr>
        <w:t>年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全年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没有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eastAsia="zh-CN"/>
        </w:rPr>
        <w:t>机关事业和城乡居民养老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因为参保职工待遇问题引起上访问题，群众上访率为</w:t>
      </w:r>
      <w:r>
        <w:rPr>
          <w:rFonts w:cs="仿宋_GB2312" w:asciiTheme="minorEastAsia" w:hAnsiTheme="minorEastAsia" w:eastAsiaTheme="minorEastAsia"/>
          <w:bCs/>
          <w:spacing w:val="-4"/>
          <w:sz w:val="30"/>
          <w:szCs w:val="30"/>
        </w:rPr>
        <w:t>0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。社会保险待遇在规定时限内足额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eastAsia="zh-CN"/>
        </w:rPr>
        <w:t>发放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待遇，社会满意度</w:t>
      </w:r>
      <w:r>
        <w:rPr>
          <w:rFonts w:cs="仿宋_GB2312" w:asciiTheme="minorEastAsia" w:hAnsiTheme="minorEastAsia" w:eastAsiaTheme="minorEastAsia"/>
          <w:bCs/>
          <w:spacing w:val="-4"/>
          <w:sz w:val="30"/>
          <w:szCs w:val="30"/>
        </w:rPr>
        <w:t>95%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以上，圆满保障了退休人员的晚年生活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坚定维护了新疆社会稳定和长治久安。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Fonts w:asciiTheme="minorEastAsia" w:hAnsiTheme="minorEastAsia" w:eastAsiaTheme="minorEastAsia"/>
          <w:sz w:val="30"/>
          <w:szCs w:val="30"/>
        </w:rPr>
      </w:pPr>
      <w:r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</w:rPr>
        <w:t>1</w:t>
      </w: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</w:rPr>
        <w:t>、机关事业单位养老保险基金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202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机关事业单位养老保险（改革）基金待遇支出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13141万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元，较上年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12212万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元增加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929万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元，增长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7.61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%，完成年度预算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13328万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元的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98.60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 xml:space="preserve">%。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bCs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每月25日前按时足额发放养老金，首次待遇发放准确率</w:t>
      </w:r>
      <w:r>
        <w:rPr>
          <w:rFonts w:cs="仿宋_GB2312" w:asciiTheme="minorEastAsia" w:hAnsiTheme="minorEastAsia" w:eastAsiaTheme="minorEastAsia"/>
          <w:bCs/>
          <w:sz w:val="30"/>
          <w:szCs w:val="30"/>
        </w:rPr>
        <w:t>99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％以上，参保群众满意率</w:t>
      </w:r>
      <w:r>
        <w:rPr>
          <w:rFonts w:cs="仿宋_GB2312" w:asciiTheme="minorEastAsia" w:hAnsiTheme="minorEastAsia" w:eastAsiaTheme="minorEastAsia"/>
          <w:bCs/>
          <w:sz w:val="30"/>
          <w:szCs w:val="30"/>
        </w:rPr>
        <w:t>99%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   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202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年</w:t>
      </w:r>
      <w:r>
        <w:rPr>
          <w:rFonts w:hint="eastAsia" w:asciiTheme="minorEastAsia" w:hAnsiTheme="minorEastAsia" w:eastAsiaTheme="minorEastAsia"/>
          <w:sz w:val="30"/>
          <w:szCs w:val="30"/>
        </w:rPr>
        <w:t>机关事业单位养老保险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离退休人员</w:t>
      </w:r>
      <w:r>
        <w:rPr>
          <w:rFonts w:hint="eastAsia" w:asciiTheme="minorEastAsia" w:hAnsiTheme="minorEastAsia" w:eastAsiaTheme="minorEastAsia"/>
          <w:bCs/>
          <w:sz w:val="30"/>
          <w:szCs w:val="30"/>
          <w:lang w:val="en-US" w:eastAsia="zh-CN"/>
        </w:rPr>
        <w:t>1813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人较上年</w:t>
      </w:r>
      <w:r>
        <w:rPr>
          <w:rFonts w:hint="eastAsia" w:asciiTheme="minorEastAsia" w:hAnsiTheme="minorEastAsia" w:eastAsiaTheme="minorEastAsia"/>
          <w:bCs/>
          <w:sz w:val="30"/>
          <w:szCs w:val="30"/>
          <w:lang w:val="en-US" w:eastAsia="zh-CN"/>
        </w:rPr>
        <w:t>1739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人</w:t>
      </w:r>
      <w:r>
        <w:rPr>
          <w:rFonts w:hint="eastAsia" w:asciiTheme="minorEastAsia" w:hAnsiTheme="minorEastAsia" w:eastAsiaTheme="minorEastAsia"/>
          <w:bCs/>
          <w:sz w:val="30"/>
          <w:szCs w:val="30"/>
          <w:lang w:eastAsia="zh-CN"/>
        </w:rPr>
        <w:t>净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增加</w:t>
      </w:r>
      <w:r>
        <w:rPr>
          <w:rFonts w:hint="eastAsia" w:asciiTheme="minorEastAsia" w:hAnsiTheme="minorEastAsia" w:eastAsiaTheme="minorEastAsia"/>
          <w:bCs/>
          <w:sz w:val="30"/>
          <w:szCs w:val="30"/>
          <w:lang w:val="en-US" w:eastAsia="zh-CN"/>
        </w:rPr>
        <w:t>74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人，增长</w:t>
      </w:r>
      <w:r>
        <w:rPr>
          <w:rFonts w:hint="eastAsia" w:asciiTheme="minorEastAsia" w:hAnsiTheme="minorEastAsia" w:eastAsiaTheme="minorEastAsia"/>
          <w:bCs/>
          <w:sz w:val="30"/>
          <w:szCs w:val="30"/>
          <w:lang w:val="en-US" w:eastAsia="zh-CN"/>
        </w:rPr>
        <w:t>4.25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%，</w:t>
      </w:r>
      <w:r>
        <w:rPr>
          <w:rFonts w:hint="eastAsia" w:asciiTheme="minorEastAsia" w:hAnsiTheme="minorEastAsia" w:eastAsiaTheme="minorEastAsia"/>
          <w:sz w:val="30"/>
          <w:szCs w:val="30"/>
        </w:rPr>
        <w:t>全年增加基本养老金支出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929万元</w:t>
      </w:r>
      <w:r>
        <w:rPr>
          <w:rFonts w:hint="eastAsia" w:asciiTheme="minorEastAsia" w:hAnsiTheme="minorEastAsia" w:eastAsiaTheme="minorEastAsia"/>
          <w:sz w:val="30"/>
          <w:szCs w:val="30"/>
        </w:rPr>
        <w:t>元。继续调整提高退休人员养老金水平，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泽普县</w:t>
      </w:r>
      <w:r>
        <w:rPr>
          <w:rFonts w:hint="eastAsia" w:asciiTheme="minorEastAsia" w:hAnsiTheme="minorEastAsia" w:eastAsiaTheme="minorEastAsia"/>
          <w:sz w:val="30"/>
          <w:szCs w:val="30"/>
        </w:rPr>
        <w:t>人均月增加养老金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235.90</w:t>
      </w:r>
      <w:r>
        <w:rPr>
          <w:rFonts w:hint="eastAsia" w:asciiTheme="minorEastAsia" w:hAnsiTheme="minorEastAsia" w:eastAsiaTheme="minorEastAsia"/>
          <w:sz w:val="30"/>
          <w:szCs w:val="30"/>
        </w:rPr>
        <w:t>元，调整幅度4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.03</w:t>
      </w:r>
      <w:r>
        <w:rPr>
          <w:rFonts w:hint="eastAsia" w:asciiTheme="minorEastAsia" w:hAnsiTheme="minorEastAsia" w:eastAsiaTheme="minorEastAsia"/>
          <w:sz w:val="30"/>
          <w:szCs w:val="30"/>
        </w:rPr>
        <w:t>%，全年增加基金支出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484万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  <w:lang w:val="en-US" w:eastAsia="zh-CN"/>
        </w:rPr>
        <w:t>2</w:t>
      </w: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</w:rPr>
        <w:t>、城乡居民养老保险基金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jc w:val="left"/>
        <w:textAlignment w:val="auto"/>
        <w:outlineLvl w:val="9"/>
        <w:rPr>
          <w:rFonts w:cs="仿宋_GB2312" w:asciiTheme="minorEastAsia" w:hAnsiTheme="minorEastAsia" w:eastAsiaTheme="minorEastAsia"/>
          <w:bCs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基金总支出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3079万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元,其中：基础养老金支出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2712万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元，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与上年同期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2558万元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相比增加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val="en-US" w:eastAsia="zh-CN"/>
        </w:rPr>
        <w:t>154万元，增长6.02%，完成预算2656万元的102.11%，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每月25日前按时足额发放养老金，首次待遇发放准确率</w:t>
      </w:r>
      <w:r>
        <w:rPr>
          <w:rFonts w:cs="仿宋_GB2312" w:asciiTheme="minorEastAsia" w:hAnsiTheme="minorEastAsia" w:eastAsiaTheme="minorEastAsia"/>
          <w:bCs/>
          <w:sz w:val="30"/>
          <w:szCs w:val="30"/>
        </w:rPr>
        <w:t>99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％以上，参保群众满意率</w:t>
      </w:r>
      <w:r>
        <w:rPr>
          <w:rFonts w:cs="仿宋_GB2312" w:asciiTheme="minorEastAsia" w:hAnsiTheme="minorEastAsia" w:eastAsiaTheme="minorEastAsia"/>
          <w:bCs/>
          <w:sz w:val="30"/>
          <w:szCs w:val="30"/>
        </w:rPr>
        <w:t>99%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全年保障领取养老金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待遇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人员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14619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人的养老金发放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2712万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支付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死亡人员丧葬费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98万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元。转移基本养老金支出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val="en-US" w:eastAsia="zh-CN"/>
        </w:rPr>
        <w:t>26万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outlineLvl w:val="9"/>
        <w:rPr>
          <w:rStyle w:val="19"/>
          <w:rFonts w:cs="仿宋_GB2312" w:asciiTheme="minorEastAsia" w:hAnsiTheme="minorEastAsia" w:eastAsiaTheme="minorEastAsia"/>
          <w:bCs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Cs w:val="0"/>
          <w:spacing w:val="-4"/>
          <w:sz w:val="30"/>
          <w:szCs w:val="30"/>
        </w:rPr>
        <w:t>四、其他需要说明的问题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</w:rPr>
        <w:t>（一）后续工作计划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bCs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养老保险按国家统一安排、同步调整企业和机关事业单位退休人员基本养老金。继续推动机关事业单位养老保险改革，全面实现参保缴费、待遇发放和新办法计发。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84" w:firstLineChars="200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</w:rPr>
        <w:t>主要经验及做法、存在问题和建议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2020</w:t>
      </w:r>
      <w:r>
        <w:rPr>
          <w:rFonts w:hint="eastAsia" w:cs="仿宋_GB2312" w:asciiTheme="minorEastAsia" w:hAnsiTheme="minorEastAsia" w:eastAsiaTheme="minorEastAsia"/>
          <w:sz w:val="30"/>
          <w:szCs w:val="30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年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是实施“十三五”规划的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收关之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年，也是社会保障事业发展进入新阶段、实现新发展的关键之年。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泽普经办机构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以基金安全运行为根本，以提高管理服务水平为重点，严格执行社会保险各项政策，建立健全内部控制制度，确保待遇发放，基金运行总体平稳。通过逐步提高保险待遇支付标准，使参保人员的获得感、幸福感不断增强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社保经办机构按照“流程覆盖、环节把控、职责明确”的工作思路，把内控制度体系建设作为根本，实现经办和管理工作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逐步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规范、有效运行，保障基金安全。一是健全综合内控制度。从组织机构、业务运行、基金财务、信息系统、内部控制等方面，制定内控制度、业务流程、岗位职责等，参保人员均按规定办理参保登记、个人账户信息修改、缴费等业务，严格执行统一的会计制度和收支业务审批制度，社保基金按规定对基金分别建账、分账核算，基金收入户、支出户和财政专户按规定开设账户，严格实行收支两条线管理，全面实行全程电子化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收支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，杜绝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挤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占、挪用基金的现象，确保基金专款专用。二是建立完善内控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制度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，按规定设置岗位，</w:t>
      </w:r>
      <w:r>
        <w:rPr>
          <w:rFonts w:hint="eastAsia" w:cs="仿宋_GB2312" w:asciiTheme="minorEastAsia" w:hAnsiTheme="minorEastAsia" w:eastAsiaTheme="minorEastAsia"/>
          <w:sz w:val="30"/>
          <w:szCs w:val="30"/>
          <w:lang w:eastAsia="zh-CN"/>
        </w:rPr>
        <w:t>分配权限，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加强管理，严格遵守不相容职务相互分离的原则，业务审核岗位和审批岗位分离、审批岗位与计发待遇岗位分离、审批岗位与数据录入岗位分离、会计岗位与出纳岗位分离</w:t>
      </w:r>
      <w:r>
        <w:rPr>
          <w:rFonts w:cs="仿宋_GB2312" w:asciiTheme="minorEastAsia" w:hAnsiTheme="minorEastAsia" w:eastAsiaTheme="minorEastAsia"/>
          <w:sz w:val="30"/>
          <w:szCs w:val="30"/>
        </w:rPr>
        <w:t>;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无违反业务规程、信息系统操作流程规定以及岗位职责、审批权限，办理社会保险业务、修改社会保险信息的现象</w:t>
      </w:r>
      <w:r>
        <w:rPr>
          <w:rFonts w:cs="仿宋_GB2312" w:asciiTheme="minorEastAsia" w:hAnsiTheme="minorEastAsia" w:eastAsiaTheme="minorEastAsia"/>
          <w:sz w:val="30"/>
          <w:szCs w:val="30"/>
        </w:rPr>
        <w:t>;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财务与业务按月对账，按规定与基金开户银行、财政部门和上下级经办机构等核对基金的收付情况</w:t>
      </w:r>
      <w:r>
        <w:rPr>
          <w:rFonts w:cs="仿宋_GB2312" w:asciiTheme="minorEastAsia" w:hAnsiTheme="minorEastAsia" w:eastAsiaTheme="minorEastAsia"/>
          <w:sz w:val="30"/>
          <w:szCs w:val="30"/>
        </w:rPr>
        <w:t>;</w:t>
      </w:r>
      <w:r>
        <w:rPr>
          <w:rFonts w:hint="eastAsia" w:cs="仿宋_GB2312" w:asciiTheme="minorEastAsia" w:hAnsiTheme="minorEastAsia" w:eastAsiaTheme="minorEastAsia"/>
          <w:sz w:val="30"/>
          <w:szCs w:val="30"/>
        </w:rPr>
        <w:t>严格执行基金支付政策，足额发放待遇，做到不拖欠、不挪用、不挤占社保基金。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但还存在</w:t>
      </w:r>
      <w:r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</w:rPr>
        <w:t>以下问题：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</w:rPr>
        <w:t>一是</w:t>
      </w:r>
      <w:r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  <w:lang w:eastAsia="zh-CN"/>
        </w:rPr>
        <w:t>城乡居民养老保险因财政资金困难，县级配套资金未能补助到位，存在着挤占个人账户情况，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cs="仿宋_GB2312" w:asciiTheme="minorEastAsia" w:hAnsiTheme="minorEastAsia" w:eastAsiaTheme="minorEastAsia"/>
          <w:bCs/>
          <w:color w:val="000000"/>
          <w:kern w:val="0"/>
          <w:sz w:val="30"/>
          <w:szCs w:val="30"/>
        </w:rPr>
        <w:t>二是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工作人员业务经办水平有待提高，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经办操作中解决问题能力不强，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对业务经办人员的培训工作有待加强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下一步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工作：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outlineLvl w:val="9"/>
        <w:rPr>
          <w:rFonts w:cs="仿宋_GB2312" w:asciiTheme="minorEastAsia" w:hAnsiTheme="minorEastAsia" w:eastAsiaTheme="minorEastAsia"/>
          <w:bCs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进一步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推进“全民参保计划”，积极采取措施、创新机制，扩大社会保险覆盖面，强化基金征缴，做到应收尽收，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  <w:lang w:eastAsia="zh-CN"/>
        </w:rPr>
        <w:t>应保尽保</w:t>
      </w:r>
      <w:r>
        <w:rPr>
          <w:rFonts w:hint="eastAsia" w:cs="仿宋_GB2312" w:asciiTheme="minorEastAsia" w:hAnsiTheme="minorEastAsia" w:eastAsiaTheme="minorEastAsia"/>
          <w:bCs/>
          <w:kern w:val="0"/>
          <w:sz w:val="30"/>
          <w:szCs w:val="30"/>
        </w:rPr>
        <w:t>。做好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风险防控工作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加大对经办工作的监督，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梳理风险点，查找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薄弱点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，采取措施，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堵塞经办环节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中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的漏洞，规范经办机构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  <w:lang w:eastAsia="zh-CN"/>
        </w:rPr>
        <w:t>安全</w:t>
      </w:r>
      <w:r>
        <w:rPr>
          <w:rFonts w:hint="eastAsia" w:cs="仿宋_GB2312" w:asciiTheme="minorEastAsia" w:hAnsiTheme="minorEastAsia" w:eastAsiaTheme="minorEastAsia"/>
          <w:bCs/>
          <w:sz w:val="30"/>
          <w:szCs w:val="30"/>
        </w:rPr>
        <w:t>运行，确保基金安全。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/>
        <w:textAlignment w:val="auto"/>
        <w:outlineLvl w:val="9"/>
        <w:rPr>
          <w:rStyle w:val="19"/>
          <w:rFonts w:cs="仿宋_GB2312" w:asciiTheme="minorEastAsia" w:hAnsiTheme="minorEastAsia" w:eastAsiaTheme="minorEastAsia"/>
          <w:b w:val="0"/>
          <w:spacing w:val="-4"/>
          <w:sz w:val="30"/>
          <w:szCs w:val="30"/>
        </w:rPr>
      </w:pPr>
      <w:r>
        <w:rPr>
          <w:rStyle w:val="19"/>
          <w:rFonts w:hint="eastAsia" w:cs="仿宋_GB2312" w:asciiTheme="minorEastAsia" w:hAnsiTheme="minorEastAsia" w:eastAsiaTheme="minorEastAsia"/>
          <w:b w:val="0"/>
          <w:spacing w:val="-4"/>
          <w:sz w:val="30"/>
          <w:szCs w:val="30"/>
        </w:rPr>
        <w:t>五、附表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7"/>
        <w:textAlignment w:val="auto"/>
        <w:outlineLvl w:val="9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  <w:lang w:eastAsia="zh-CN"/>
        </w:rPr>
        <w:t>泽普县</w:t>
      </w:r>
      <w:r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  <w:t>社会保险支出绩效自评表</w:t>
      </w:r>
    </w:p>
    <w:p>
      <w:pPr>
        <w:pStyle w:val="2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tbl>
      <w:tblPr>
        <w:tblStyle w:val="21"/>
        <w:tblW w:w="8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080"/>
        <w:gridCol w:w="1369"/>
        <w:gridCol w:w="453"/>
        <w:gridCol w:w="667"/>
        <w:gridCol w:w="2142"/>
        <w:gridCol w:w="2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857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喀什地区社会保险支出绩效自评表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7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机关事业单位养老保险基金支出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社会保险基金预算支出部门</w:t>
            </w:r>
          </w:p>
        </w:tc>
        <w:tc>
          <w:tcPr>
            <w:tcW w:w="5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预算执行情况</w:t>
            </w:r>
          </w:p>
        </w:tc>
        <w:tc>
          <w:tcPr>
            <w:tcW w:w="24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预算数：</w:t>
            </w:r>
          </w:p>
        </w:tc>
        <w:tc>
          <w:tcPr>
            <w:tcW w:w="11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13356</w:t>
            </w:r>
          </w:p>
        </w:tc>
        <w:tc>
          <w:tcPr>
            <w:tcW w:w="2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执行数：</w:t>
            </w:r>
          </w:p>
        </w:tc>
        <w:tc>
          <w:tcPr>
            <w:tcW w:w="2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13356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年度目标完成情况</w:t>
            </w:r>
          </w:p>
        </w:tc>
        <w:tc>
          <w:tcPr>
            <w:tcW w:w="35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4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聚焦总目标，确保我县离退休人员按期足额领取养老金待遇，按期调整待遇，让离退休人员享受国家发展改革成果，安享晚年，确保社会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和长治久安。</w:t>
            </w:r>
            <w:bookmarkEnd w:id="0"/>
          </w:p>
        </w:tc>
        <w:tc>
          <w:tcPr>
            <w:tcW w:w="4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泽普县严格执行社保基金管理法规政策，按期足额发放养老金待遇，调增离退休人员基本养老金，安享晚年，保证参保人员权益，未发生基金管理运行风险。完成年度预算的98.67%，达到了预期目标，确保了社会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和长治久安。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参保缴费人数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8267人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绩效目标完成情况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保障退休待遇人数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基本养老收入预算执行率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102.82%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基本养老支出预算执行率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养老保险待遇首次发放成功率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养老金首次转移成功率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养老金发放时效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每月25日前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基金使用符合政策规定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项目效益指标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让离退休人员安享晚年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充分发挥社会保险的职能作用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充分发挥社会保险的职能作用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可持续影响力指标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离退休人员上访率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上访率控制在0.1%以内，维护社会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，长治久安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上访率0，维护社会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，长治久安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离休退人员满意度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tbl>
      <w:tblPr>
        <w:tblStyle w:val="21"/>
        <w:tblW w:w="8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044"/>
        <w:gridCol w:w="1321"/>
        <w:gridCol w:w="405"/>
        <w:gridCol w:w="1032"/>
        <w:gridCol w:w="1869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857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泽普县社会保险支出绩效自评表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7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城乡居民养老保险基金支出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社会保险基金预算支出部门</w:t>
            </w:r>
          </w:p>
        </w:tc>
        <w:tc>
          <w:tcPr>
            <w:tcW w:w="5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预算执行情况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预算数：</w:t>
            </w:r>
          </w:p>
        </w:tc>
        <w:tc>
          <w:tcPr>
            <w:tcW w:w="14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2940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执行数：</w:t>
            </w:r>
          </w:p>
        </w:tc>
        <w:tc>
          <w:tcPr>
            <w:tcW w:w="2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年度目标完成情况</w:t>
            </w:r>
          </w:p>
        </w:tc>
        <w:tc>
          <w:tcPr>
            <w:tcW w:w="38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4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聚焦总目标，确保离退休人员按期足额领取养老金待遇，按期调整待遇，让离退休人员享受国家发展改革成果，安享晚年，确保社会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和长治久安。</w:t>
            </w:r>
          </w:p>
        </w:tc>
        <w:tc>
          <w:tcPr>
            <w:tcW w:w="4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县社会保险中心严格执行社保基金管理法规政策，按期足额发放养老金待遇，调增离退休人员基本养老金，安享晚年，保证参保人员权益，未发生基金管理运行风险。完成年度预算的104.72%，达到了预期目标，确保了社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和长治久安。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缴费人数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85116人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85005人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保障退休待遇人数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14619人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基本养老收入预算执行率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基本养老支出预算执行率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104.72%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养老保险待遇首次发放成功率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养老金首次转移成功率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养老金发放时效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每月25日前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基金使用符合政策规定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项目效益指标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让离退休人员安享晚年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充分发挥社会保险的职能作用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充分发挥社会保险的职能作用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可持续影响力指标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离退休人员上访率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上访率控制在0.1%以内，维护社会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，长治久安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上访率0，维护社会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，长治久安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离休退人员满意度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6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jc w:val="both"/>
        <w:rPr>
          <w:rFonts w:hint="eastAsia" w:cs="仿宋_GB2312" w:asciiTheme="minorEastAsia" w:hAnsiTheme="minorEastAsia" w:eastAsiaTheme="minorEastAsia"/>
          <w:bCs/>
          <w:spacing w:val="-4"/>
          <w:sz w:val="30"/>
          <w:szCs w:val="30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EF3810"/>
    <w:multiLevelType w:val="singleLevel"/>
    <w:tmpl w:val="DCEF381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CA6457"/>
    <w:rsid w:val="0000727F"/>
    <w:rsid w:val="00056465"/>
    <w:rsid w:val="000873E4"/>
    <w:rsid w:val="000A314D"/>
    <w:rsid w:val="000B6C35"/>
    <w:rsid w:val="000F165B"/>
    <w:rsid w:val="001077C8"/>
    <w:rsid w:val="00121AE4"/>
    <w:rsid w:val="00146AAD"/>
    <w:rsid w:val="00187D80"/>
    <w:rsid w:val="001B3A40"/>
    <w:rsid w:val="001B6CEB"/>
    <w:rsid w:val="001E2777"/>
    <w:rsid w:val="001E6AC1"/>
    <w:rsid w:val="001F3F14"/>
    <w:rsid w:val="002766A9"/>
    <w:rsid w:val="002B62F6"/>
    <w:rsid w:val="002C4738"/>
    <w:rsid w:val="00305CAA"/>
    <w:rsid w:val="00314008"/>
    <w:rsid w:val="00325819"/>
    <w:rsid w:val="00392327"/>
    <w:rsid w:val="003B4051"/>
    <w:rsid w:val="004001F8"/>
    <w:rsid w:val="004366A8"/>
    <w:rsid w:val="004973F4"/>
    <w:rsid w:val="004C274C"/>
    <w:rsid w:val="004D2E2A"/>
    <w:rsid w:val="004D3C61"/>
    <w:rsid w:val="004E1E22"/>
    <w:rsid w:val="00502BA7"/>
    <w:rsid w:val="0051288D"/>
    <w:rsid w:val="005162F1"/>
    <w:rsid w:val="00524E2F"/>
    <w:rsid w:val="00535153"/>
    <w:rsid w:val="00536224"/>
    <w:rsid w:val="00554F82"/>
    <w:rsid w:val="0056390D"/>
    <w:rsid w:val="005719B0"/>
    <w:rsid w:val="005A64FC"/>
    <w:rsid w:val="005B03B7"/>
    <w:rsid w:val="005D10D6"/>
    <w:rsid w:val="005D49DD"/>
    <w:rsid w:val="006146B0"/>
    <w:rsid w:val="0062003B"/>
    <w:rsid w:val="006713E5"/>
    <w:rsid w:val="00693597"/>
    <w:rsid w:val="006F1484"/>
    <w:rsid w:val="00723F4C"/>
    <w:rsid w:val="0073226C"/>
    <w:rsid w:val="00734DFA"/>
    <w:rsid w:val="00741077"/>
    <w:rsid w:val="00774FC7"/>
    <w:rsid w:val="007B4EB8"/>
    <w:rsid w:val="007D1529"/>
    <w:rsid w:val="00817F42"/>
    <w:rsid w:val="0084772A"/>
    <w:rsid w:val="00847D1B"/>
    <w:rsid w:val="00854116"/>
    <w:rsid w:val="00855E3A"/>
    <w:rsid w:val="00857832"/>
    <w:rsid w:val="00876626"/>
    <w:rsid w:val="00892FAA"/>
    <w:rsid w:val="008A2BAB"/>
    <w:rsid w:val="008B17D8"/>
    <w:rsid w:val="008D3A71"/>
    <w:rsid w:val="008E231B"/>
    <w:rsid w:val="008F28A7"/>
    <w:rsid w:val="008F7C92"/>
    <w:rsid w:val="00922CB9"/>
    <w:rsid w:val="00936E8B"/>
    <w:rsid w:val="00955D26"/>
    <w:rsid w:val="00962F90"/>
    <w:rsid w:val="00994B24"/>
    <w:rsid w:val="009B5D7E"/>
    <w:rsid w:val="009C31E6"/>
    <w:rsid w:val="009E5CD9"/>
    <w:rsid w:val="009F1302"/>
    <w:rsid w:val="009F4E7D"/>
    <w:rsid w:val="00A26421"/>
    <w:rsid w:val="00A40B0F"/>
    <w:rsid w:val="00A4293B"/>
    <w:rsid w:val="00A64271"/>
    <w:rsid w:val="00A67D50"/>
    <w:rsid w:val="00A8691A"/>
    <w:rsid w:val="00AC1946"/>
    <w:rsid w:val="00AD0FEC"/>
    <w:rsid w:val="00AD7835"/>
    <w:rsid w:val="00B40063"/>
    <w:rsid w:val="00B41F61"/>
    <w:rsid w:val="00B47A95"/>
    <w:rsid w:val="00B73497"/>
    <w:rsid w:val="00BA46E6"/>
    <w:rsid w:val="00BB200C"/>
    <w:rsid w:val="00BC5DAB"/>
    <w:rsid w:val="00C0269D"/>
    <w:rsid w:val="00C56C72"/>
    <w:rsid w:val="00C70524"/>
    <w:rsid w:val="00C772DB"/>
    <w:rsid w:val="00CA6457"/>
    <w:rsid w:val="00CE2000"/>
    <w:rsid w:val="00D17F2E"/>
    <w:rsid w:val="00D25887"/>
    <w:rsid w:val="00D30354"/>
    <w:rsid w:val="00DA042F"/>
    <w:rsid w:val="00DF42A0"/>
    <w:rsid w:val="00E072CC"/>
    <w:rsid w:val="00E136AA"/>
    <w:rsid w:val="00E25910"/>
    <w:rsid w:val="00E46995"/>
    <w:rsid w:val="00E72813"/>
    <w:rsid w:val="00E769FE"/>
    <w:rsid w:val="00EA2CBE"/>
    <w:rsid w:val="00EE1F17"/>
    <w:rsid w:val="00F32FEE"/>
    <w:rsid w:val="00F61120"/>
    <w:rsid w:val="00F7692E"/>
    <w:rsid w:val="00FB10BB"/>
    <w:rsid w:val="00FC1988"/>
    <w:rsid w:val="00FF0F40"/>
    <w:rsid w:val="01116FEC"/>
    <w:rsid w:val="04EB4934"/>
    <w:rsid w:val="06EE7D0D"/>
    <w:rsid w:val="07B06AB5"/>
    <w:rsid w:val="082F1EC2"/>
    <w:rsid w:val="09A50626"/>
    <w:rsid w:val="0BBC293C"/>
    <w:rsid w:val="1032273E"/>
    <w:rsid w:val="10763D0C"/>
    <w:rsid w:val="12747BAC"/>
    <w:rsid w:val="166879CC"/>
    <w:rsid w:val="168C3145"/>
    <w:rsid w:val="16B15AA0"/>
    <w:rsid w:val="16CD4749"/>
    <w:rsid w:val="171C5B78"/>
    <w:rsid w:val="18E77BA9"/>
    <w:rsid w:val="1BA40D39"/>
    <w:rsid w:val="1E862BCF"/>
    <w:rsid w:val="1F5853BD"/>
    <w:rsid w:val="20317511"/>
    <w:rsid w:val="229D38C1"/>
    <w:rsid w:val="264F6850"/>
    <w:rsid w:val="28C8448A"/>
    <w:rsid w:val="2A4D4F48"/>
    <w:rsid w:val="2AE45F76"/>
    <w:rsid w:val="2B9D2A91"/>
    <w:rsid w:val="2BB8257B"/>
    <w:rsid w:val="2BCC1DE9"/>
    <w:rsid w:val="2DCC62C6"/>
    <w:rsid w:val="2DDF6276"/>
    <w:rsid w:val="30BE0F9C"/>
    <w:rsid w:val="30EE20E9"/>
    <w:rsid w:val="31F23AFE"/>
    <w:rsid w:val="32B252D2"/>
    <w:rsid w:val="32E15A3A"/>
    <w:rsid w:val="356A7949"/>
    <w:rsid w:val="367A4211"/>
    <w:rsid w:val="37413820"/>
    <w:rsid w:val="37C45358"/>
    <w:rsid w:val="3BB70555"/>
    <w:rsid w:val="3BC7304C"/>
    <w:rsid w:val="3C887145"/>
    <w:rsid w:val="41155452"/>
    <w:rsid w:val="41F46496"/>
    <w:rsid w:val="449C451D"/>
    <w:rsid w:val="45626ED2"/>
    <w:rsid w:val="4650534D"/>
    <w:rsid w:val="466F183E"/>
    <w:rsid w:val="47FB44A6"/>
    <w:rsid w:val="48255E33"/>
    <w:rsid w:val="4AE1187D"/>
    <w:rsid w:val="4BDB7DA7"/>
    <w:rsid w:val="4C360DA2"/>
    <w:rsid w:val="4C5F7F78"/>
    <w:rsid w:val="4E642F34"/>
    <w:rsid w:val="53005138"/>
    <w:rsid w:val="53765D86"/>
    <w:rsid w:val="5447318A"/>
    <w:rsid w:val="558A4408"/>
    <w:rsid w:val="58D75736"/>
    <w:rsid w:val="5BD37F56"/>
    <w:rsid w:val="5C4806EE"/>
    <w:rsid w:val="5D57207E"/>
    <w:rsid w:val="608C353B"/>
    <w:rsid w:val="60AF1759"/>
    <w:rsid w:val="62BF108E"/>
    <w:rsid w:val="659A0045"/>
    <w:rsid w:val="65C07533"/>
    <w:rsid w:val="66437D33"/>
    <w:rsid w:val="66966C22"/>
    <w:rsid w:val="682A7052"/>
    <w:rsid w:val="684B0830"/>
    <w:rsid w:val="68972EF6"/>
    <w:rsid w:val="68EE19A1"/>
    <w:rsid w:val="69B91819"/>
    <w:rsid w:val="6AB95BCD"/>
    <w:rsid w:val="6C0A0ACE"/>
    <w:rsid w:val="6C74389A"/>
    <w:rsid w:val="6D747692"/>
    <w:rsid w:val="6DE13EE4"/>
    <w:rsid w:val="70B07B00"/>
    <w:rsid w:val="71214FEF"/>
    <w:rsid w:val="71631C23"/>
    <w:rsid w:val="7546593F"/>
    <w:rsid w:val="757C4A65"/>
    <w:rsid w:val="75AE4E59"/>
    <w:rsid w:val="75F6112B"/>
    <w:rsid w:val="76243622"/>
    <w:rsid w:val="77692F40"/>
    <w:rsid w:val="77716415"/>
    <w:rsid w:val="78F446DC"/>
    <w:rsid w:val="7B270171"/>
    <w:rsid w:val="7BB20CFB"/>
    <w:rsid w:val="7BDE0F75"/>
    <w:rsid w:val="7D980D38"/>
    <w:rsid w:val="7E670D9A"/>
    <w:rsid w:val="7E7631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9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23"/>
    <w:qFormat/>
    <w:uiPriority w:val="99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5">
    <w:name w:val="heading 3"/>
    <w:basedOn w:val="1"/>
    <w:next w:val="1"/>
    <w:link w:val="24"/>
    <w:qFormat/>
    <w:uiPriority w:val="9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6">
    <w:name w:val="heading 4"/>
    <w:basedOn w:val="1"/>
    <w:next w:val="1"/>
    <w:link w:val="25"/>
    <w:qFormat/>
    <w:uiPriority w:val="99"/>
    <w:pPr>
      <w:keepNext/>
      <w:widowControl/>
      <w:spacing w:before="240" w:after="6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5"/>
    <w:basedOn w:val="1"/>
    <w:next w:val="1"/>
    <w:link w:val="26"/>
    <w:qFormat/>
    <w:uiPriority w:val="99"/>
    <w:pPr>
      <w:widowControl/>
      <w:spacing w:before="240" w:after="60"/>
      <w:jc w:val="left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8">
    <w:name w:val="heading 6"/>
    <w:basedOn w:val="1"/>
    <w:next w:val="1"/>
    <w:link w:val="27"/>
    <w:qFormat/>
    <w:uiPriority w:val="99"/>
    <w:pPr>
      <w:widowControl/>
      <w:spacing w:before="240" w:after="60"/>
      <w:jc w:val="left"/>
      <w:outlineLvl w:val="5"/>
    </w:pPr>
    <w:rPr>
      <w:rFonts w:ascii="Calibri" w:hAnsi="Calibri"/>
      <w:b/>
      <w:bCs/>
      <w:kern w:val="0"/>
      <w:sz w:val="22"/>
      <w:szCs w:val="22"/>
    </w:rPr>
  </w:style>
  <w:style w:type="paragraph" w:styleId="9">
    <w:name w:val="heading 7"/>
    <w:basedOn w:val="1"/>
    <w:next w:val="1"/>
    <w:link w:val="28"/>
    <w:qFormat/>
    <w:uiPriority w:val="99"/>
    <w:pPr>
      <w:widowControl/>
      <w:spacing w:before="240" w:after="60"/>
      <w:jc w:val="left"/>
      <w:outlineLvl w:val="6"/>
    </w:pPr>
    <w:rPr>
      <w:rFonts w:ascii="Calibri" w:hAnsi="Calibri"/>
      <w:kern w:val="0"/>
      <w:sz w:val="24"/>
    </w:rPr>
  </w:style>
  <w:style w:type="paragraph" w:styleId="10">
    <w:name w:val="heading 8"/>
    <w:basedOn w:val="1"/>
    <w:next w:val="1"/>
    <w:link w:val="29"/>
    <w:qFormat/>
    <w:uiPriority w:val="99"/>
    <w:pPr>
      <w:widowControl/>
      <w:spacing w:before="240" w:after="60"/>
      <w:jc w:val="left"/>
      <w:outlineLvl w:val="7"/>
    </w:pPr>
    <w:rPr>
      <w:rFonts w:ascii="Calibri" w:hAnsi="Calibri"/>
      <w:i/>
      <w:iCs/>
      <w:kern w:val="0"/>
      <w:sz w:val="24"/>
    </w:rPr>
  </w:style>
  <w:style w:type="paragraph" w:styleId="11">
    <w:name w:val="heading 9"/>
    <w:basedOn w:val="1"/>
    <w:next w:val="1"/>
    <w:link w:val="30"/>
    <w:qFormat/>
    <w:uiPriority w:val="9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1"/>
    <w:qFormat/>
    <w:uiPriority w:val="99"/>
    <w:pPr>
      <w:jc w:val="center"/>
    </w:pPr>
    <w:rPr>
      <w:rFonts w:eastAsia="方正小标宋简体"/>
      <w:b/>
      <w:bCs/>
      <w:sz w:val="44"/>
    </w:rPr>
  </w:style>
  <w:style w:type="paragraph" w:styleId="12">
    <w:name w:val="Balloon Text"/>
    <w:basedOn w:val="1"/>
    <w:link w:val="32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5">
    <w:name w:val="Subtitle"/>
    <w:basedOn w:val="1"/>
    <w:next w:val="1"/>
    <w:link w:val="35"/>
    <w:qFormat/>
    <w:uiPriority w:val="99"/>
    <w:pPr>
      <w:widowControl/>
      <w:spacing w:after="60"/>
      <w:jc w:val="center"/>
      <w:outlineLvl w:val="1"/>
    </w:pPr>
    <w:rPr>
      <w:rFonts w:ascii="Cambria" w:hAnsi="Cambria"/>
      <w:kern w:val="0"/>
      <w:sz w:val="24"/>
    </w:rPr>
  </w:style>
  <w:style w:type="paragraph" w:styleId="1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7">
    <w:name w:val="Title"/>
    <w:basedOn w:val="1"/>
    <w:next w:val="1"/>
    <w:link w:val="36"/>
    <w:qFormat/>
    <w:uiPriority w:val="99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19">
    <w:name w:val="Strong"/>
    <w:basedOn w:val="18"/>
    <w:qFormat/>
    <w:uiPriority w:val="99"/>
    <w:rPr>
      <w:rFonts w:cs="Times New Roman"/>
      <w:b/>
      <w:bCs/>
    </w:rPr>
  </w:style>
  <w:style w:type="character" w:styleId="20">
    <w:name w:val="Emphasis"/>
    <w:basedOn w:val="18"/>
    <w:qFormat/>
    <w:uiPriority w:val="99"/>
    <w:rPr>
      <w:rFonts w:ascii="Calibri" w:hAnsi="Calibri" w:cs="Times New Roman"/>
      <w:b/>
      <w:i/>
      <w:iCs/>
    </w:rPr>
  </w:style>
  <w:style w:type="character" w:customStyle="1" w:styleId="22">
    <w:name w:val="标题 1 Char"/>
    <w:basedOn w:val="18"/>
    <w:link w:val="3"/>
    <w:qFormat/>
    <w:locked/>
    <w:uiPriority w:val="9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3">
    <w:name w:val="标题 2 Char"/>
    <w:basedOn w:val="18"/>
    <w:link w:val="4"/>
    <w:semiHidden/>
    <w:qFormat/>
    <w:locked/>
    <w:uiPriority w:val="9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4">
    <w:name w:val="标题 3 Char"/>
    <w:basedOn w:val="18"/>
    <w:link w:val="5"/>
    <w:semiHidden/>
    <w:qFormat/>
    <w:locked/>
    <w:uiPriority w:val="9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5">
    <w:name w:val="标题 4 Char"/>
    <w:basedOn w:val="18"/>
    <w:link w:val="6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26">
    <w:name w:val="标题 5 Char"/>
    <w:basedOn w:val="18"/>
    <w:link w:val="7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27">
    <w:name w:val="标题 6 Char"/>
    <w:basedOn w:val="18"/>
    <w:link w:val="8"/>
    <w:semiHidden/>
    <w:qFormat/>
    <w:locked/>
    <w:uiPriority w:val="99"/>
    <w:rPr>
      <w:rFonts w:cs="Times New Roman"/>
      <w:b/>
      <w:bCs/>
    </w:rPr>
  </w:style>
  <w:style w:type="character" w:customStyle="1" w:styleId="28">
    <w:name w:val="标题 7 Char"/>
    <w:basedOn w:val="18"/>
    <w:link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29">
    <w:name w:val="标题 8 Char"/>
    <w:basedOn w:val="18"/>
    <w:link w:val="10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30">
    <w:name w:val="标题 9 Char"/>
    <w:basedOn w:val="18"/>
    <w:link w:val="11"/>
    <w:semiHidden/>
    <w:qFormat/>
    <w:locked/>
    <w:uiPriority w:val="99"/>
    <w:rPr>
      <w:rFonts w:ascii="Cambria" w:hAnsi="Cambria" w:eastAsia="宋体" w:cs="Times New Roman"/>
    </w:rPr>
  </w:style>
  <w:style w:type="character" w:customStyle="1" w:styleId="31">
    <w:name w:val="正文文本 Char"/>
    <w:basedOn w:val="18"/>
    <w:link w:val="2"/>
    <w:semiHidden/>
    <w:qFormat/>
    <w:uiPriority w:val="99"/>
    <w:rPr>
      <w:szCs w:val="24"/>
    </w:rPr>
  </w:style>
  <w:style w:type="character" w:customStyle="1" w:styleId="32">
    <w:name w:val="批注框文本 Char"/>
    <w:basedOn w:val="18"/>
    <w:link w:val="12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3">
    <w:name w:val="页脚 Char"/>
    <w:basedOn w:val="18"/>
    <w:link w:val="1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4">
    <w:name w:val="页眉 Char"/>
    <w:basedOn w:val="18"/>
    <w:link w:val="1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5">
    <w:name w:val="副标题 Char"/>
    <w:basedOn w:val="18"/>
    <w:link w:val="15"/>
    <w:qFormat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36">
    <w:name w:val="标题 Char"/>
    <w:basedOn w:val="18"/>
    <w:link w:val="17"/>
    <w:qFormat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7">
    <w:name w:val="无间隔1"/>
    <w:basedOn w:val="1"/>
    <w:qFormat/>
    <w:uiPriority w:val="99"/>
    <w:pPr>
      <w:widowControl/>
      <w:jc w:val="left"/>
    </w:pPr>
    <w:rPr>
      <w:rFonts w:ascii="Calibri" w:hAnsi="Calibri"/>
      <w:kern w:val="0"/>
      <w:sz w:val="24"/>
      <w:szCs w:val="32"/>
      <w:lang w:eastAsia="en-US"/>
    </w:rPr>
  </w:style>
  <w:style w:type="paragraph" w:customStyle="1" w:styleId="38">
    <w:name w:val="列出段落1"/>
    <w:basedOn w:val="1"/>
    <w:qFormat/>
    <w:uiPriority w:val="99"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39">
    <w:name w:val="引用1"/>
    <w:basedOn w:val="1"/>
    <w:next w:val="1"/>
    <w:link w:val="40"/>
    <w:qFormat/>
    <w:uiPriority w:val="99"/>
    <w:pPr>
      <w:widowControl/>
      <w:jc w:val="left"/>
    </w:pPr>
    <w:rPr>
      <w:rFonts w:ascii="Calibri" w:hAnsi="Calibri"/>
      <w:i/>
      <w:kern w:val="0"/>
      <w:sz w:val="24"/>
    </w:rPr>
  </w:style>
  <w:style w:type="character" w:customStyle="1" w:styleId="40">
    <w:name w:val="引用 Char"/>
    <w:basedOn w:val="18"/>
    <w:link w:val="39"/>
    <w:qFormat/>
    <w:locked/>
    <w:uiPriority w:val="99"/>
    <w:rPr>
      <w:rFonts w:cs="Times New Roman"/>
      <w:i/>
      <w:sz w:val="24"/>
      <w:szCs w:val="24"/>
    </w:rPr>
  </w:style>
  <w:style w:type="paragraph" w:customStyle="1" w:styleId="41">
    <w:name w:val="明显引用1"/>
    <w:basedOn w:val="1"/>
    <w:next w:val="1"/>
    <w:link w:val="42"/>
    <w:qFormat/>
    <w:uiPriority w:val="99"/>
    <w:pPr>
      <w:widowControl/>
      <w:ind w:left="720" w:right="720"/>
      <w:jc w:val="left"/>
    </w:pPr>
    <w:rPr>
      <w:rFonts w:ascii="Calibri" w:hAnsi="Calibri"/>
      <w:b/>
      <w:i/>
      <w:kern w:val="0"/>
      <w:sz w:val="24"/>
      <w:szCs w:val="22"/>
    </w:rPr>
  </w:style>
  <w:style w:type="character" w:customStyle="1" w:styleId="42">
    <w:name w:val="明显引用 Char"/>
    <w:basedOn w:val="18"/>
    <w:link w:val="41"/>
    <w:qFormat/>
    <w:locked/>
    <w:uiPriority w:val="99"/>
    <w:rPr>
      <w:rFonts w:cs="Times New Roman"/>
      <w:b/>
      <w:i/>
      <w:sz w:val="24"/>
    </w:rPr>
  </w:style>
  <w:style w:type="character" w:customStyle="1" w:styleId="43">
    <w:name w:val="Subtle Emphasis1"/>
    <w:qFormat/>
    <w:uiPriority w:val="99"/>
    <w:rPr>
      <w:i/>
      <w:color w:val="595959"/>
    </w:rPr>
  </w:style>
  <w:style w:type="character" w:customStyle="1" w:styleId="44">
    <w:name w:val="Intense Emphasis1"/>
    <w:basedOn w:val="18"/>
    <w:qFormat/>
    <w:uiPriority w:val="99"/>
    <w:rPr>
      <w:rFonts w:cs="Times New Roman"/>
      <w:b/>
      <w:i/>
      <w:sz w:val="24"/>
      <w:szCs w:val="24"/>
      <w:u w:val="single"/>
    </w:rPr>
  </w:style>
  <w:style w:type="character" w:customStyle="1" w:styleId="45">
    <w:name w:val="Subtle Reference1"/>
    <w:basedOn w:val="18"/>
    <w:qFormat/>
    <w:uiPriority w:val="99"/>
    <w:rPr>
      <w:rFonts w:cs="Times New Roman"/>
      <w:sz w:val="24"/>
      <w:szCs w:val="24"/>
      <w:u w:val="single"/>
    </w:rPr>
  </w:style>
  <w:style w:type="character" w:customStyle="1" w:styleId="46">
    <w:name w:val="Intense Reference1"/>
    <w:basedOn w:val="18"/>
    <w:qFormat/>
    <w:uiPriority w:val="99"/>
    <w:rPr>
      <w:rFonts w:cs="Times New Roman"/>
      <w:b/>
      <w:sz w:val="24"/>
      <w:u w:val="single"/>
    </w:rPr>
  </w:style>
  <w:style w:type="character" w:customStyle="1" w:styleId="47">
    <w:name w:val="Book Title1"/>
    <w:basedOn w:val="18"/>
    <w:qFormat/>
    <w:uiPriority w:val="99"/>
    <w:rPr>
      <w:rFonts w:ascii="Cambria" w:hAnsi="Cambria" w:eastAsia="宋体" w:cs="Times New Roman"/>
      <w:b/>
      <w:i/>
      <w:sz w:val="24"/>
      <w:szCs w:val="24"/>
    </w:rPr>
  </w:style>
  <w:style w:type="paragraph" w:customStyle="1" w:styleId="48">
    <w:name w:val="TOC Heading1"/>
    <w:basedOn w:val="3"/>
    <w:next w:val="1"/>
    <w:semiHidden/>
    <w:qFormat/>
    <w:uiPriority w:val="99"/>
    <w:pPr>
      <w:outlineLvl w:val="9"/>
    </w:pPr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9519</Words>
  <Characters>2142</Characters>
  <Lines>17</Lines>
  <Paragraphs>23</Paragraphs>
  <TotalTime>12</TotalTime>
  <ScaleCrop>false</ScaleCrop>
  <LinksUpToDate>false</LinksUpToDate>
  <CharactersWithSpaces>11638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2018-08-15T02:06:00Z</dcterms:created>
  <dc:creator>赵 恺（预算处）</dc:creator>
  <cp:lastModifiedBy>Administrator</cp:lastModifiedBy>
  <cp:lastPrinted>2022-02-11T10:15:00Z</cp:lastPrinted>
  <dcterms:modified xsi:type="dcterms:W3CDTF">2022-03-30T11:18:23Z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