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</w:p>
    <w:p>
      <w:pPr>
        <w:pStyle w:val="2"/>
        <w:rPr>
          <w:rFonts w:asciiTheme="minorEastAsia" w:hAnsiTheme="minorEastAsia" w:eastAsiaTheme="minorEastAsia"/>
          <w:sz w:val="30"/>
          <w:szCs w:val="30"/>
        </w:rPr>
      </w:pPr>
    </w:p>
    <w:p>
      <w:pPr>
        <w:pStyle w:val="2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560" w:lineRule="exact"/>
        <w:jc w:val="center"/>
        <w:rPr>
          <w:rFonts w:hint="eastAsia" w:ascii="方正小标宋简体" w:eastAsia="方正小标宋简体" w:cs="黑体" w:hAnsiTheme="minorEastAsia"/>
          <w:b/>
          <w:kern w:val="0"/>
          <w:sz w:val="44"/>
          <w:szCs w:val="44"/>
        </w:rPr>
      </w:pPr>
      <w:r>
        <w:rPr>
          <w:rFonts w:hint="eastAsia" w:ascii="方正小标宋简体" w:eastAsia="方正小标宋简体" w:cs="黑体" w:hAnsiTheme="minorEastAsia"/>
          <w:b/>
          <w:kern w:val="0"/>
          <w:sz w:val="44"/>
          <w:szCs w:val="44"/>
          <w:lang w:eastAsia="zh-CN"/>
        </w:rPr>
        <w:t>泽普县</w:t>
      </w:r>
      <w:r>
        <w:rPr>
          <w:rFonts w:hint="eastAsia" w:ascii="方正小标宋简体" w:eastAsia="方正小标宋简体" w:cs="黑体" w:hAnsiTheme="minorEastAsia"/>
          <w:b/>
          <w:kern w:val="0"/>
          <w:sz w:val="44"/>
          <w:szCs w:val="44"/>
        </w:rPr>
        <w:t>社会保险基金支出</w:t>
      </w:r>
    </w:p>
    <w:p>
      <w:pPr>
        <w:spacing w:line="560" w:lineRule="exact"/>
        <w:jc w:val="center"/>
        <w:rPr>
          <w:rFonts w:hint="eastAsia" w:ascii="方正小标宋简体" w:eastAsia="方正小标宋简体" w:cs="黑体" w:hAnsiTheme="minorEastAsia"/>
          <w:b/>
          <w:bCs w:val="0"/>
          <w:kern w:val="0"/>
          <w:sz w:val="44"/>
          <w:szCs w:val="44"/>
        </w:rPr>
      </w:pPr>
      <w:r>
        <w:rPr>
          <w:rFonts w:hint="eastAsia" w:ascii="方正小标宋简体" w:eastAsia="方正小标宋简体" w:cs="黑体" w:hAnsiTheme="minorEastAsia"/>
          <w:b/>
          <w:kern w:val="0"/>
          <w:sz w:val="44"/>
          <w:szCs w:val="44"/>
        </w:rPr>
        <w:t>绩效评价报告</w:t>
      </w:r>
    </w:p>
    <w:p>
      <w:pPr>
        <w:spacing w:line="560" w:lineRule="exact"/>
        <w:jc w:val="center"/>
        <w:rPr>
          <w:rFonts w:cs="黑体" w:asciiTheme="minorEastAsia" w:hAnsiTheme="minorEastAsia" w:eastAsiaTheme="minorEastAsia"/>
          <w:b/>
          <w:kern w:val="0"/>
          <w:sz w:val="30"/>
          <w:szCs w:val="30"/>
        </w:rPr>
      </w:pPr>
    </w:p>
    <w:p>
      <w:pPr>
        <w:spacing w:line="560" w:lineRule="exact"/>
        <w:jc w:val="center"/>
        <w:rPr>
          <w:rFonts w:cs="黑体" w:asciiTheme="minorEastAsia" w:hAnsiTheme="minorEastAsia" w:eastAsiaTheme="minorEastAsia"/>
          <w:b/>
          <w:kern w:val="0"/>
          <w:sz w:val="30"/>
          <w:szCs w:val="30"/>
        </w:rPr>
      </w:pPr>
      <w:r>
        <w:rPr>
          <w:rFonts w:hint="eastAsia" w:cs="黑体" w:asciiTheme="minorEastAsia" w:hAnsiTheme="minorEastAsia" w:eastAsiaTheme="minorEastAsia"/>
          <w:b/>
          <w:kern w:val="0"/>
          <w:sz w:val="30"/>
          <w:szCs w:val="30"/>
        </w:rPr>
        <w:t>（</w:t>
      </w:r>
      <w:r>
        <w:rPr>
          <w:rFonts w:cs="黑体" w:asciiTheme="minorEastAsia" w:hAnsiTheme="minorEastAsia" w:eastAsiaTheme="minorEastAsia"/>
          <w:b/>
          <w:kern w:val="0"/>
          <w:sz w:val="30"/>
          <w:szCs w:val="30"/>
        </w:rPr>
        <w:t>20</w:t>
      </w:r>
      <w:r>
        <w:rPr>
          <w:rFonts w:hint="eastAsia" w:cs="黑体" w:asciiTheme="minorEastAsia" w:hAnsiTheme="minorEastAsia" w:eastAsiaTheme="minorEastAsia"/>
          <w:b/>
          <w:kern w:val="0"/>
          <w:sz w:val="30"/>
          <w:szCs w:val="30"/>
          <w:lang w:val="en-US" w:eastAsia="zh-CN"/>
        </w:rPr>
        <w:t>21</w:t>
      </w:r>
      <w:r>
        <w:rPr>
          <w:rFonts w:hint="eastAsia" w:cs="黑体" w:asciiTheme="minorEastAsia" w:hAnsiTheme="minorEastAsia" w:eastAsiaTheme="minorEastAsia"/>
          <w:b/>
          <w:kern w:val="0"/>
          <w:sz w:val="30"/>
          <w:szCs w:val="30"/>
        </w:rPr>
        <w:t>年度）</w:t>
      </w:r>
    </w:p>
    <w:p>
      <w:pPr>
        <w:spacing w:line="560" w:lineRule="exact"/>
        <w:jc w:val="center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</w:p>
    <w:p>
      <w:pPr>
        <w:spacing w:line="560" w:lineRule="exact"/>
        <w:jc w:val="center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</w:p>
    <w:p>
      <w:pPr>
        <w:spacing w:line="560" w:lineRule="exact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</w:p>
    <w:p>
      <w:pPr>
        <w:spacing w:line="560" w:lineRule="exact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</w:p>
    <w:p>
      <w:pPr>
        <w:spacing w:line="560" w:lineRule="exact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</w:p>
    <w:p>
      <w:pPr>
        <w:spacing w:line="560" w:lineRule="exact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</w:p>
    <w:p>
      <w:pPr>
        <w:spacing w:line="560" w:lineRule="exact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</w:p>
    <w:p>
      <w:pPr>
        <w:spacing w:line="560" w:lineRule="exact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</w:p>
    <w:p>
      <w:pPr>
        <w:spacing w:line="560" w:lineRule="exact"/>
        <w:ind w:firstLine="640" w:firstLineChars="200"/>
        <w:jc w:val="left"/>
        <w:rPr>
          <w:rFonts w:cs="黑体" w:asciiTheme="minorEastAsia" w:hAnsiTheme="minorEastAsia" w:eastAsiaTheme="minorEastAsia"/>
          <w:bCs/>
          <w:kern w:val="0"/>
          <w:sz w:val="32"/>
          <w:szCs w:val="32"/>
        </w:rPr>
      </w:pPr>
      <w:r>
        <w:rPr>
          <w:rFonts w:hint="eastAsia" w:cs="黑体" w:asciiTheme="minorEastAsia" w:hAnsiTheme="minorEastAsia" w:eastAsiaTheme="minorEastAsia"/>
          <w:bCs/>
          <w:kern w:val="0"/>
          <w:sz w:val="32"/>
          <w:szCs w:val="32"/>
        </w:rPr>
        <w:t>项目名称：社会保险基金支出</w:t>
      </w:r>
    </w:p>
    <w:p>
      <w:pPr>
        <w:spacing w:line="560" w:lineRule="exact"/>
        <w:jc w:val="left"/>
        <w:rPr>
          <w:rFonts w:cs="黑体" w:asciiTheme="minorEastAsia" w:hAnsiTheme="minorEastAsia" w:eastAsiaTheme="minorEastAsia"/>
          <w:bCs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cs="黑体" w:asciiTheme="minorEastAsia" w:hAnsiTheme="minorEastAsia" w:eastAsiaTheme="minorEastAsia"/>
          <w:bCs/>
          <w:kern w:val="0"/>
          <w:sz w:val="32"/>
          <w:szCs w:val="32"/>
          <w:lang w:eastAsia="zh-CN"/>
        </w:rPr>
      </w:pPr>
      <w:r>
        <w:rPr>
          <w:rFonts w:hint="eastAsia" w:cs="黑体" w:asciiTheme="minorEastAsia" w:hAnsiTheme="minorEastAsia" w:eastAsiaTheme="minorEastAsia"/>
          <w:bCs/>
          <w:kern w:val="0"/>
          <w:sz w:val="32"/>
          <w:szCs w:val="32"/>
        </w:rPr>
        <w:t>实施单位（公章）：</w:t>
      </w:r>
      <w:r>
        <w:rPr>
          <w:rFonts w:hint="eastAsia" w:cs="黑体" w:asciiTheme="minorEastAsia" w:hAnsiTheme="minorEastAsia" w:eastAsiaTheme="minorEastAsia"/>
          <w:bCs/>
          <w:kern w:val="0"/>
          <w:sz w:val="32"/>
          <w:szCs w:val="32"/>
          <w:lang w:eastAsia="zh-CN"/>
        </w:rPr>
        <w:t>泽普县社会保险中心</w:t>
      </w:r>
    </w:p>
    <w:p>
      <w:pPr>
        <w:spacing w:line="560" w:lineRule="exact"/>
        <w:ind w:firstLine="755" w:firstLineChars="236"/>
        <w:jc w:val="left"/>
        <w:rPr>
          <w:rFonts w:hint="eastAsia" w:cs="黑体" w:asciiTheme="minorEastAsia" w:hAnsiTheme="minorEastAsia" w:eastAsiaTheme="minorEastAsia"/>
          <w:bCs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spacing w:line="560" w:lineRule="exact"/>
        <w:ind w:firstLine="755" w:firstLineChars="236"/>
        <w:jc w:val="left"/>
        <w:rPr>
          <w:rFonts w:hint="eastAsia" w:cs="黑体" w:asciiTheme="minorEastAsia" w:hAnsiTheme="minorEastAsia" w:eastAsiaTheme="minorEastAsia"/>
          <w:bCs/>
          <w:kern w:val="0"/>
          <w:sz w:val="32"/>
          <w:szCs w:val="32"/>
        </w:rPr>
      </w:pPr>
    </w:p>
    <w:p>
      <w:pPr>
        <w:spacing w:line="560" w:lineRule="exact"/>
        <w:ind w:firstLine="755" w:firstLineChars="236"/>
        <w:jc w:val="left"/>
        <w:rPr>
          <w:rFonts w:hint="eastAsia" w:cs="黑体" w:asciiTheme="minorEastAsia" w:hAnsiTheme="minorEastAsia" w:eastAsiaTheme="minorEastAsia"/>
          <w:bCs/>
          <w:kern w:val="0"/>
          <w:sz w:val="32"/>
          <w:szCs w:val="32"/>
          <w:lang w:eastAsia="zh-CN"/>
        </w:rPr>
      </w:pPr>
      <w:r>
        <w:rPr>
          <w:rFonts w:hint="eastAsia" w:cs="黑体" w:asciiTheme="minorEastAsia" w:hAnsiTheme="minorEastAsia" w:eastAsiaTheme="minorEastAsia"/>
          <w:bCs/>
          <w:kern w:val="0"/>
          <w:sz w:val="32"/>
          <w:szCs w:val="32"/>
        </w:rPr>
        <w:t>负责人（签章）：</w:t>
      </w:r>
      <w:r>
        <w:rPr>
          <w:rFonts w:hint="eastAsia" w:cs="黑体" w:asciiTheme="minorEastAsia" w:hAnsiTheme="minorEastAsia" w:eastAsiaTheme="minorEastAsia"/>
          <w:bCs/>
          <w:kern w:val="0"/>
          <w:sz w:val="32"/>
          <w:szCs w:val="32"/>
          <w:lang w:eastAsia="zh-CN"/>
        </w:rPr>
        <w:t>邓波</w:t>
      </w:r>
    </w:p>
    <w:p>
      <w:pPr>
        <w:spacing w:line="560" w:lineRule="exact"/>
        <w:ind w:firstLine="755" w:firstLineChars="236"/>
        <w:jc w:val="left"/>
        <w:rPr>
          <w:rFonts w:cs="黑体" w:asciiTheme="minorEastAsia" w:hAnsiTheme="minorEastAsia" w:eastAsiaTheme="minorEastAsia"/>
          <w:bCs/>
          <w:kern w:val="0"/>
          <w:sz w:val="32"/>
          <w:szCs w:val="32"/>
        </w:rPr>
      </w:pPr>
      <w:r>
        <w:rPr>
          <w:rFonts w:hint="eastAsia" w:cs="黑体" w:asciiTheme="minorEastAsia" w:hAnsiTheme="minorEastAsia" w:eastAsiaTheme="minorEastAsia"/>
          <w:bCs/>
          <w:kern w:val="0"/>
          <w:sz w:val="32"/>
          <w:szCs w:val="32"/>
        </w:rPr>
        <w:t>填报时间：</w:t>
      </w:r>
      <w:r>
        <w:rPr>
          <w:rFonts w:cs="黑体" w:asciiTheme="minorEastAsia" w:hAnsiTheme="minorEastAsia" w:eastAsiaTheme="minorEastAsia"/>
          <w:bCs/>
          <w:kern w:val="0"/>
          <w:sz w:val="32"/>
          <w:szCs w:val="32"/>
        </w:rPr>
        <w:t xml:space="preserve"> 20</w:t>
      </w:r>
      <w:r>
        <w:rPr>
          <w:rFonts w:hint="eastAsia" w:cs="黑体" w:asciiTheme="minorEastAsia" w:hAnsiTheme="minorEastAsia" w:eastAsiaTheme="minorEastAsia"/>
          <w:bCs/>
          <w:kern w:val="0"/>
          <w:sz w:val="32"/>
          <w:szCs w:val="32"/>
        </w:rPr>
        <w:t>2</w:t>
      </w:r>
      <w:r>
        <w:rPr>
          <w:rFonts w:hint="eastAsia" w:cs="黑体" w:asciiTheme="minorEastAsia" w:hAnsiTheme="minorEastAsia" w:eastAsiaTheme="minorEastAsia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cs="黑体" w:asciiTheme="minorEastAsia" w:hAnsiTheme="minorEastAsia" w:eastAsiaTheme="minorEastAsia"/>
          <w:bCs/>
          <w:kern w:val="0"/>
          <w:sz w:val="32"/>
          <w:szCs w:val="32"/>
        </w:rPr>
        <w:t>年</w:t>
      </w:r>
      <w:r>
        <w:rPr>
          <w:rFonts w:hint="eastAsia" w:cs="黑体" w:asciiTheme="minorEastAsia" w:hAnsiTheme="minorEastAsia" w:eastAsiaTheme="minorEastAsia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cs="黑体" w:asciiTheme="minorEastAsia" w:hAnsiTheme="minorEastAsia" w:eastAsiaTheme="minorEastAsia"/>
          <w:bCs/>
          <w:kern w:val="0"/>
          <w:sz w:val="32"/>
          <w:szCs w:val="32"/>
        </w:rPr>
        <w:t>月2</w:t>
      </w:r>
      <w:r>
        <w:rPr>
          <w:rFonts w:hint="eastAsia" w:cs="黑体" w:asciiTheme="minorEastAsia" w:hAnsiTheme="minorEastAsia" w:eastAsiaTheme="minorEastAsia"/>
          <w:bCs/>
          <w:kern w:val="0"/>
          <w:sz w:val="32"/>
          <w:szCs w:val="32"/>
          <w:lang w:val="en-US" w:eastAsia="zh-CN"/>
        </w:rPr>
        <w:t>0</w:t>
      </w:r>
      <w:r>
        <w:rPr>
          <w:rFonts w:hint="eastAsia" w:cs="黑体" w:asciiTheme="minorEastAsia" w:hAnsiTheme="minorEastAsia" w:eastAsiaTheme="minorEastAsia"/>
          <w:bCs/>
          <w:kern w:val="0"/>
          <w:sz w:val="32"/>
          <w:szCs w:val="32"/>
        </w:rPr>
        <w:t>日</w:t>
      </w:r>
    </w:p>
    <w:p>
      <w:pPr>
        <w:spacing w:line="560" w:lineRule="exact"/>
        <w:ind w:firstLine="640"/>
        <w:rPr>
          <w:rStyle w:val="19"/>
          <w:rFonts w:cs="仿宋_GB2312" w:asciiTheme="minorEastAsia" w:hAnsiTheme="minorEastAsia" w:eastAsiaTheme="minorEastAsia"/>
          <w:bCs w:val="0"/>
          <w:spacing w:val="-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/>
        <w:textAlignment w:val="auto"/>
        <w:outlineLvl w:val="9"/>
        <w:rPr>
          <w:rStyle w:val="19"/>
          <w:rFonts w:cs="仿宋_GB2312" w:asciiTheme="minorEastAsia" w:hAnsiTheme="minorEastAsia" w:eastAsiaTheme="minorEastAsia"/>
          <w:bCs w:val="0"/>
          <w:spacing w:val="-4"/>
          <w:sz w:val="30"/>
          <w:szCs w:val="30"/>
        </w:rPr>
      </w:pPr>
      <w:r>
        <w:rPr>
          <w:rStyle w:val="19"/>
          <w:rFonts w:hint="eastAsia" w:cs="仿宋_GB2312" w:asciiTheme="minorEastAsia" w:hAnsiTheme="minorEastAsia" w:eastAsiaTheme="minorEastAsia"/>
          <w:bCs w:val="0"/>
          <w:spacing w:val="-4"/>
          <w:sz w:val="30"/>
          <w:szCs w:val="30"/>
        </w:rPr>
        <w:t>一、社会保险基金收支余情况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7"/>
        <w:textAlignment w:val="auto"/>
        <w:outlineLvl w:val="9"/>
        <w:rPr>
          <w:rStyle w:val="19"/>
          <w:rFonts w:cs="仿宋_GB2312" w:asciiTheme="minorEastAsia" w:hAnsiTheme="minorEastAsia" w:eastAsiaTheme="minorEastAsia"/>
          <w:bCs w:val="0"/>
          <w:spacing w:val="-4"/>
          <w:sz w:val="30"/>
          <w:szCs w:val="30"/>
        </w:rPr>
      </w:pPr>
      <w:r>
        <w:rPr>
          <w:rStyle w:val="19"/>
          <w:rFonts w:hint="eastAsia" w:cs="仿宋_GB2312" w:asciiTheme="minorEastAsia" w:hAnsiTheme="minorEastAsia" w:eastAsiaTheme="minorEastAsia"/>
          <w:bCs w:val="0"/>
          <w:spacing w:val="-4"/>
          <w:sz w:val="30"/>
          <w:szCs w:val="30"/>
        </w:rPr>
        <w:t>（一）社会保险基金情况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600" w:firstLineChars="200"/>
        <w:textAlignment w:val="auto"/>
        <w:outlineLvl w:val="9"/>
        <w:rPr>
          <w:rFonts w:cs="仿宋_GB2312" w:asciiTheme="minorEastAsia" w:hAnsiTheme="minorEastAsia" w:eastAsiaTheme="minorEastAsia"/>
          <w:bCs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eastAsia="zh-CN"/>
        </w:rPr>
        <w:t>202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val="en-US" w:eastAsia="zh-CN"/>
        </w:rPr>
        <w:t>1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eastAsia="zh-CN"/>
        </w:rPr>
        <w:t>年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度，在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eastAsia="zh-CN"/>
        </w:rPr>
        <w:t>县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人社局、财政局的大力支持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eastAsia="zh-CN"/>
        </w:rPr>
        <w:t>　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和共同努力下，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eastAsia="zh-CN"/>
        </w:rPr>
        <w:t>泽普县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社会保险工作取得了显著成绩。社会保险基金收入稳步增长，支出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eastAsia="zh-CN"/>
        </w:rPr>
        <w:t>不断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增加，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eastAsia="zh-CN"/>
        </w:rPr>
        <w:t>基金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总体运行平稳。确保了广大参保人员社会保险待遇的按时、足额发放，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eastAsia="zh-CN"/>
        </w:rPr>
        <w:t>社会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保险覆盖面逐步扩大。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eastAsia="zh-CN"/>
        </w:rPr>
        <w:t>在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进一步加强社会保险基金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eastAsia="zh-CN"/>
        </w:rPr>
        <w:t>风险防控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管理上，确保了基金的安全运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eastAsia="zh-CN"/>
        </w:rPr>
        <w:t>行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600" w:firstLineChars="200"/>
        <w:textAlignment w:val="auto"/>
        <w:outlineLvl w:val="9"/>
        <w:rPr>
          <w:rFonts w:hint="eastAsia"/>
        </w:rPr>
      </w:pP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eastAsia="zh-CN"/>
        </w:rPr>
        <w:t>202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val="en-US" w:eastAsia="zh-CN"/>
        </w:rPr>
        <w:t>1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eastAsia="zh-CN"/>
        </w:rPr>
        <w:t>年泽普县机关事业事业养老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基金总收入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val="en-US" w:eastAsia="zh-CN"/>
        </w:rPr>
        <w:t>18919万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元（收入小计不含上下级往来），完成年度预算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val="en-US" w:eastAsia="zh-CN"/>
        </w:rPr>
        <w:t>18400万元的102.87</w:t>
      </w:r>
      <w:r>
        <w:rPr>
          <w:rFonts w:cs="仿宋_GB2312" w:asciiTheme="minorEastAsia" w:hAnsiTheme="minorEastAsia" w:eastAsiaTheme="minorEastAsia"/>
          <w:bCs/>
          <w:sz w:val="30"/>
          <w:szCs w:val="30"/>
        </w:rPr>
        <w:t>%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。基金总支出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val="en-US" w:eastAsia="zh-CN"/>
        </w:rPr>
        <w:t>13178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eastAsia="zh-CN"/>
        </w:rPr>
        <w:t>万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元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eastAsia="zh-CN"/>
        </w:rPr>
        <w:t>，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完成年度预算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val="en-US" w:eastAsia="zh-CN"/>
        </w:rPr>
        <w:t>13356万元的98.66</w:t>
      </w:r>
      <w:r>
        <w:rPr>
          <w:rFonts w:cs="仿宋_GB2312" w:asciiTheme="minorEastAsia" w:hAnsiTheme="minorEastAsia" w:eastAsiaTheme="minorEastAsia"/>
          <w:bCs/>
          <w:sz w:val="30"/>
          <w:szCs w:val="30"/>
        </w:rPr>
        <w:t>%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。基金当期结余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val="en-US" w:eastAsia="zh-CN"/>
        </w:rPr>
        <w:t>5741万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元，滚存结余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val="en-US" w:eastAsia="zh-CN"/>
        </w:rPr>
        <w:t>29135万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元。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600" w:firstLineChars="200"/>
        <w:textAlignment w:val="auto"/>
        <w:outlineLvl w:val="9"/>
        <w:rPr>
          <w:rFonts w:hint="eastAsia" w:cs="仿宋_GB2312" w:asciiTheme="minorEastAsia" w:hAnsiTheme="minorEastAsia" w:eastAsiaTheme="minorEastAsia"/>
          <w:bCs/>
          <w:sz w:val="30"/>
          <w:szCs w:val="30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val="en-US" w:eastAsia="zh-CN"/>
        </w:rPr>
        <w:t>2021年泽普县城乡居民养老基金总收入5210万元（收入小计不含上下级往来），完成年度预算5134万元的101.48%。基金总支出3079万元（支出小计不含上下级往来），完成年度预算2940万元的104.73%。基金当期结余2131万元，滚存结余15301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2" w:firstLineChars="200"/>
        <w:jc w:val="left"/>
        <w:textAlignment w:val="auto"/>
        <w:outlineLvl w:val="9"/>
        <w:rPr>
          <w:rFonts w:asciiTheme="minorEastAsia" w:hAnsiTheme="minorEastAsia" w:eastAsiaTheme="minorEastAsia"/>
          <w:b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kern w:val="0"/>
          <w:sz w:val="30"/>
          <w:szCs w:val="30"/>
        </w:rPr>
        <w:t>（二）社会保险基金支出预算绩效目标设定情况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0" w:firstLineChars="200"/>
        <w:jc w:val="left"/>
        <w:textAlignment w:val="auto"/>
        <w:outlineLvl w:val="9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（包括基金支出预算目标及阶段性目标；项目用途和主要内容、涉及对象及人数范围等）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0" w:firstLineChars="200"/>
        <w:jc w:val="both"/>
        <w:textAlignment w:val="auto"/>
        <w:outlineLvl w:val="9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202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年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预算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泽普县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机关事业养老保险（改革）基金总支出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13356万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</w:t>
      </w:r>
      <w:r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  <w:t>,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其中：基本养老金待遇支出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13328万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</w:t>
      </w:r>
      <w:r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  <w:t>.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全年保障离退休人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员1830人的基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本养老金待遇发放。全年预算支出执行目标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95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%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至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105%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，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泽普县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承诺在每月25日前按时足额发放养老金，首次待遇发放准确率</w:t>
      </w:r>
      <w:r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  <w:t>9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5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％以上，参保群众满意率</w:t>
      </w:r>
      <w:r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  <w:t>9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5</w:t>
      </w:r>
      <w:r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  <w:t>%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0" w:firstLineChars="200"/>
        <w:jc w:val="both"/>
        <w:textAlignment w:val="auto"/>
        <w:outlineLvl w:val="9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202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年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预算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泽普县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城乡居民养老保险基金总支出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2940万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</w:t>
      </w:r>
      <w:r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  <w:t>,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其中：基础性养老金支出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2656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</w:t>
      </w:r>
      <w:r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  <w:t>，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个人账户养老金支出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223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元，丧葬补助金支出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35万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元。全年保障到龄领取养老金人员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15003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人的养老金待遇发放。全年预算支出执行目标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95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%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至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105%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，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泽普县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承诺在每月25日前按时足额发放养老金，首次待遇发放准确率</w:t>
      </w:r>
      <w:r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  <w:t>9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5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％以上，参保群众满意率</w:t>
      </w:r>
      <w:r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  <w:t>9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5</w:t>
      </w:r>
      <w:r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  <w:t>%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2" w:firstLineChars="200"/>
        <w:jc w:val="left"/>
        <w:textAlignment w:val="auto"/>
        <w:outlineLvl w:val="9"/>
        <w:rPr>
          <w:rFonts w:cs="仿宋_GB2312" w:asciiTheme="minorEastAsia" w:hAnsiTheme="minorEastAsia" w:eastAsiaTheme="minorEastAsia"/>
          <w:b/>
          <w:bCs/>
          <w:kern w:val="0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/>
          <w:bCs/>
          <w:kern w:val="0"/>
          <w:sz w:val="30"/>
          <w:szCs w:val="30"/>
        </w:rPr>
        <w:t>二、社会保险基金预算完成及运行情况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2" w:firstLineChars="200"/>
        <w:jc w:val="left"/>
        <w:textAlignment w:val="auto"/>
        <w:outlineLvl w:val="9"/>
        <w:rPr>
          <w:rFonts w:asciiTheme="minorEastAsia" w:hAnsiTheme="minorEastAsia" w:eastAsiaTheme="minorEastAsia"/>
          <w:b/>
          <w:kern w:val="0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/>
          <w:bCs/>
          <w:kern w:val="0"/>
          <w:sz w:val="30"/>
          <w:szCs w:val="30"/>
        </w:rPr>
        <w:t>（一）</w:t>
      </w:r>
      <w:r>
        <w:rPr>
          <w:rFonts w:hint="eastAsia" w:asciiTheme="minorEastAsia" w:hAnsiTheme="minorEastAsia" w:eastAsiaTheme="minorEastAsia"/>
          <w:b/>
          <w:kern w:val="0"/>
          <w:sz w:val="30"/>
          <w:szCs w:val="30"/>
        </w:rPr>
        <w:t>机关事业单位养老保险基金预算完成及运行情况分析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0" w:firstLineChars="200"/>
        <w:jc w:val="both"/>
        <w:textAlignment w:val="auto"/>
        <w:outlineLvl w:val="9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2020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年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度机关事业单位养老保险基金收入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18919万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元，其中：保费收入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15913万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，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利息收入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240万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，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财政补助收入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2744万元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元，其他收入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12万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元，转移收入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10万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元，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基金总支出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13178万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元，其中：基本养老金支出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13141万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元，转移支出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37万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，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基金当期结余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5741万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元，滚存结余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29135万元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0" w:firstLineChars="200"/>
        <w:jc w:val="left"/>
        <w:textAlignment w:val="auto"/>
        <w:outlineLvl w:val="9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202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年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机关事业单位养老保险（改革）基金保费收入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15913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亿元，较上年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15800万元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增加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113万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元，增长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0.72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%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，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完成年度预算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16464万元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的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96.65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0" w:firstLineChars="200"/>
        <w:jc w:val="left"/>
        <w:textAlignment w:val="auto"/>
        <w:outlineLvl w:val="9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202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年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机关事业单位养老保险（改革）基金待遇支出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13141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元，较上年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12212万元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增加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929万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元，增长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7.61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%，完成年度预算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13328万元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的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98.60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 xml:space="preserve">%。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2" w:firstLineChars="200"/>
        <w:jc w:val="left"/>
        <w:textAlignment w:val="auto"/>
        <w:outlineLvl w:val="9"/>
        <w:rPr>
          <w:rFonts w:asciiTheme="minorEastAsia" w:hAnsiTheme="minorEastAsia" w:eastAsiaTheme="minorEastAsia"/>
          <w:b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kern w:val="0"/>
          <w:sz w:val="30"/>
          <w:szCs w:val="30"/>
        </w:rPr>
        <w:t>（二）城乡居民养老保险基金预算完成及运行情况分析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0" w:firstLineChars="200"/>
        <w:jc w:val="left"/>
        <w:textAlignment w:val="auto"/>
        <w:outlineLvl w:val="9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202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年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度，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泽普县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城乡居民养老保险基金总收入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5210万</w:t>
      </w:r>
      <w:r>
        <w:rPr>
          <w:rFonts w:hint="eastAsia" w:asciiTheme="minorEastAsia" w:hAnsiTheme="minorEastAsia" w:eastAsiaTheme="minorEastAsia"/>
          <w:bCs/>
          <w:sz w:val="30"/>
          <w:szCs w:val="30"/>
        </w:rPr>
        <w:t>元，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其中：个人缴费收入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1898万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元，财政补贴收入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2960万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元（缴费补助收入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428万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元，基础养老金补助收入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2532万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元，丧葬抚恤补助收入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0万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元）利息收入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83万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元，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委托投资收益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150万元，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其他收入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103万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元，转移收入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16万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元。基金总支出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3079万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元,其中：基础养老金支出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2712万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元，个人账户养老金支出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242万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元，丧葬抚恤金支出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99万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元，转移支出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26万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元。基金当期结余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2131万元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，累计结余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15301万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0" w:firstLineChars="200"/>
        <w:jc w:val="left"/>
        <w:textAlignment w:val="auto"/>
        <w:outlineLvl w:val="9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202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年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度城乡居民养老保险个人缴费收入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1898万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（含代缴收入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223.27万元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）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，与去年同期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个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人缴费收入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1569万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（含代缴收入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0.43万元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）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相比增加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329万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元，增长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20.97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%,完成全年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个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人缴费收入预算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1691万元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的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112.24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%；基础性养老金支出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2712万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元，与去年同期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2558万元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相比增加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154万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元，增长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6.02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%，个人账户养老金支出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242万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元，与去年同期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147万元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相比增加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95万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元，增长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64.63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%，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城乡养老保险支出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3079万元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完成全年预算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2940万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元的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104.73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2" w:firstLineChars="200"/>
        <w:jc w:val="left"/>
        <w:textAlignment w:val="auto"/>
        <w:outlineLvl w:val="9"/>
        <w:rPr>
          <w:rFonts w:asciiTheme="minorEastAsia" w:hAnsiTheme="minorEastAsia" w:eastAsiaTheme="minorEastAsia"/>
          <w:b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kern w:val="0"/>
          <w:sz w:val="30"/>
          <w:szCs w:val="30"/>
        </w:rPr>
        <w:t>三、社会保险基金支出组织实施情况和绩效管理情况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2" w:firstLineChars="200"/>
        <w:jc w:val="left"/>
        <w:textAlignment w:val="auto"/>
        <w:outlineLvl w:val="9"/>
        <w:rPr>
          <w:rFonts w:asciiTheme="minorEastAsia" w:hAnsiTheme="minorEastAsia" w:eastAsiaTheme="minorEastAsia"/>
          <w:b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kern w:val="0"/>
          <w:sz w:val="30"/>
          <w:szCs w:val="30"/>
        </w:rPr>
        <w:t>（一）社会保险管理情况分析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0" w:firstLineChars="200"/>
        <w:jc w:val="left"/>
        <w:textAlignment w:val="auto"/>
        <w:outlineLvl w:val="9"/>
        <w:rPr>
          <w:rFonts w:cs="仿宋_GB2312" w:asciiTheme="minorEastAsia" w:hAnsiTheme="minorEastAsia" w:eastAsiaTheme="minorEastAsia"/>
          <w:bCs/>
          <w:color w:val="000000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Cs/>
          <w:color w:val="000000"/>
          <w:sz w:val="30"/>
          <w:szCs w:val="30"/>
          <w:lang w:eastAsia="zh-CN"/>
        </w:rPr>
        <w:t>202</w:t>
      </w:r>
      <w:r>
        <w:rPr>
          <w:rFonts w:hint="eastAsia" w:cs="仿宋_GB2312" w:asciiTheme="minorEastAsia" w:hAnsiTheme="minorEastAsia" w:eastAsiaTheme="minorEastAsia"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cs="仿宋_GB2312" w:asciiTheme="minorEastAsia" w:hAnsiTheme="minorEastAsia" w:eastAsiaTheme="minorEastAsia"/>
          <w:bCs/>
          <w:color w:val="000000"/>
          <w:sz w:val="30"/>
          <w:szCs w:val="30"/>
          <w:lang w:eastAsia="zh-CN"/>
        </w:rPr>
        <w:t>年</w:t>
      </w:r>
      <w:r>
        <w:rPr>
          <w:rFonts w:hint="eastAsia" w:cs="仿宋_GB2312" w:asciiTheme="minorEastAsia" w:hAnsiTheme="minorEastAsia" w:eastAsiaTheme="minorEastAsia"/>
          <w:bCs/>
          <w:color w:val="000000"/>
          <w:sz w:val="30"/>
          <w:szCs w:val="30"/>
        </w:rPr>
        <w:t>是机关事业养老保险制度改革后，连续</w:t>
      </w:r>
      <w:r>
        <w:rPr>
          <w:rFonts w:hint="eastAsia" w:cs="仿宋_GB2312" w:asciiTheme="minorEastAsia" w:hAnsiTheme="minorEastAsia" w:eastAsiaTheme="minorEastAsia"/>
          <w:bCs/>
          <w:color w:val="000000"/>
          <w:sz w:val="30"/>
          <w:szCs w:val="30"/>
          <w:lang w:val="en-US" w:eastAsia="zh-CN"/>
        </w:rPr>
        <w:t>5</w:t>
      </w:r>
      <w:r>
        <w:rPr>
          <w:rFonts w:hint="eastAsia" w:cs="仿宋_GB2312" w:asciiTheme="minorEastAsia" w:hAnsiTheme="minorEastAsia" w:eastAsiaTheme="minorEastAsia"/>
          <w:bCs/>
          <w:color w:val="000000"/>
          <w:sz w:val="30"/>
          <w:szCs w:val="30"/>
        </w:rPr>
        <w:t>年同步调整机关事业单位退休人员养老金待遇。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7"/>
        <w:textAlignment w:val="auto"/>
        <w:outlineLvl w:val="9"/>
        <w:rPr>
          <w:rStyle w:val="19"/>
          <w:rFonts w:cs="仿宋_GB2312" w:asciiTheme="minorEastAsia" w:hAnsiTheme="minorEastAsia" w:eastAsiaTheme="minorEastAsia"/>
          <w:b w:val="0"/>
          <w:spacing w:val="-4"/>
          <w:sz w:val="30"/>
          <w:szCs w:val="30"/>
        </w:rPr>
      </w:pPr>
      <w:r>
        <w:rPr>
          <w:rStyle w:val="19"/>
          <w:rFonts w:hint="eastAsia" w:cs="仿宋_GB2312" w:asciiTheme="minorEastAsia" w:hAnsiTheme="minorEastAsia" w:eastAsiaTheme="minorEastAsia"/>
          <w:b w:val="0"/>
          <w:spacing w:val="-4"/>
          <w:sz w:val="30"/>
          <w:szCs w:val="30"/>
        </w:rPr>
        <w:t>（二）绩效目标完成情况分析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84" w:firstLineChars="200"/>
        <w:textAlignment w:val="auto"/>
        <w:outlineLvl w:val="9"/>
        <w:rPr>
          <w:rFonts w:cs="仿宋_GB2312" w:asciiTheme="minorEastAsia" w:hAnsiTheme="minorEastAsia" w:eastAsiaTheme="minorEastAsia"/>
          <w:bCs/>
          <w:spacing w:val="-4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  <w:lang w:eastAsia="zh-CN"/>
        </w:rPr>
        <w:t>202</w:t>
      </w:r>
      <w:r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  <w:lang w:val="en-US" w:eastAsia="zh-CN"/>
        </w:rPr>
        <w:t>1</w:t>
      </w:r>
      <w:r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  <w:lang w:eastAsia="zh-CN"/>
        </w:rPr>
        <w:t>年</w:t>
      </w:r>
      <w:r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  <w:t>全年</w:t>
      </w:r>
      <w:r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  <w:lang w:eastAsia="zh-CN"/>
        </w:rPr>
        <w:t>泽普县</w:t>
      </w:r>
      <w:r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  <w:t>没有</w:t>
      </w:r>
      <w:r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  <w:lang w:eastAsia="zh-CN"/>
        </w:rPr>
        <w:t>机关事业和城乡居民养老</w:t>
      </w:r>
      <w:r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  <w:t>因为参保职工待遇问题引起上访问题，群众上访率为</w:t>
      </w:r>
      <w:r>
        <w:rPr>
          <w:rFonts w:cs="仿宋_GB2312" w:asciiTheme="minorEastAsia" w:hAnsiTheme="minorEastAsia" w:eastAsiaTheme="minorEastAsia"/>
          <w:bCs/>
          <w:spacing w:val="-4"/>
          <w:sz w:val="30"/>
          <w:szCs w:val="30"/>
        </w:rPr>
        <w:t>0</w:t>
      </w:r>
      <w:r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  <w:t>。社会保险待遇在规定时限内足额</w:t>
      </w:r>
      <w:r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  <w:lang w:eastAsia="zh-CN"/>
        </w:rPr>
        <w:t>发放</w:t>
      </w:r>
      <w:r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  <w:t>待遇，社会满意度</w:t>
      </w:r>
      <w:r>
        <w:rPr>
          <w:rFonts w:cs="仿宋_GB2312" w:asciiTheme="minorEastAsia" w:hAnsiTheme="minorEastAsia" w:eastAsiaTheme="minorEastAsia"/>
          <w:bCs/>
          <w:spacing w:val="-4"/>
          <w:sz w:val="30"/>
          <w:szCs w:val="30"/>
        </w:rPr>
        <w:t>95%</w:t>
      </w:r>
      <w:r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  <w:t>以上，圆满保障了退休人员的晚年生活</w:t>
      </w:r>
      <w:r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  <w:lang w:eastAsia="zh-CN"/>
        </w:rPr>
        <w:t>，</w:t>
      </w:r>
      <w:r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  <w:t>坚定维护了新疆社会稳定和长治久安。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7"/>
        <w:textAlignment w:val="auto"/>
        <w:outlineLvl w:val="9"/>
        <w:rPr>
          <w:rFonts w:asciiTheme="minorEastAsia" w:hAnsiTheme="minorEastAsia" w:eastAsiaTheme="minorEastAsia"/>
          <w:sz w:val="30"/>
          <w:szCs w:val="30"/>
        </w:rPr>
      </w:pPr>
      <w:r>
        <w:rPr>
          <w:rStyle w:val="19"/>
          <w:rFonts w:cs="仿宋_GB2312" w:asciiTheme="minorEastAsia" w:hAnsiTheme="minorEastAsia" w:eastAsiaTheme="minorEastAsia"/>
          <w:b w:val="0"/>
          <w:spacing w:val="-4"/>
          <w:sz w:val="30"/>
          <w:szCs w:val="30"/>
        </w:rPr>
        <w:t>1</w:t>
      </w:r>
      <w:r>
        <w:rPr>
          <w:rStyle w:val="19"/>
          <w:rFonts w:hint="eastAsia" w:cs="仿宋_GB2312" w:asciiTheme="minorEastAsia" w:hAnsiTheme="minorEastAsia" w:eastAsiaTheme="minorEastAsia"/>
          <w:b w:val="0"/>
          <w:spacing w:val="-4"/>
          <w:sz w:val="30"/>
          <w:szCs w:val="30"/>
        </w:rPr>
        <w:t>、机关事业单位养老保险基金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0" w:firstLineChars="200"/>
        <w:textAlignment w:val="auto"/>
        <w:outlineLvl w:val="9"/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202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年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机关事业单位养老保险（改革）基金待遇支出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13141万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元，较上年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12212万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元增加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929万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元，增长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7.61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%，完成年度预算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13328万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元的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98.60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 xml:space="preserve">%。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0" w:firstLineChars="200"/>
        <w:textAlignment w:val="auto"/>
        <w:outlineLvl w:val="9"/>
        <w:rPr>
          <w:rFonts w:cs="仿宋_GB2312" w:asciiTheme="minorEastAsia" w:hAnsiTheme="minorEastAsia" w:eastAsiaTheme="minorEastAsia"/>
          <w:bCs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每月25日前按时足额发放养老金，首次待遇发放准确率</w:t>
      </w:r>
      <w:r>
        <w:rPr>
          <w:rFonts w:cs="仿宋_GB2312" w:asciiTheme="minorEastAsia" w:hAnsiTheme="minorEastAsia" w:eastAsiaTheme="minorEastAsia"/>
          <w:bCs/>
          <w:sz w:val="30"/>
          <w:szCs w:val="30"/>
        </w:rPr>
        <w:t>99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％以上，参保群众满意率</w:t>
      </w:r>
      <w:r>
        <w:rPr>
          <w:rFonts w:cs="仿宋_GB2312" w:asciiTheme="minorEastAsia" w:hAnsiTheme="minorEastAsia" w:eastAsiaTheme="minorEastAsia"/>
          <w:bCs/>
          <w:sz w:val="30"/>
          <w:szCs w:val="30"/>
        </w:rPr>
        <w:t>99%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outlineLvl w:val="9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    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202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年</w:t>
      </w:r>
      <w:r>
        <w:rPr>
          <w:rFonts w:hint="eastAsia" w:asciiTheme="minorEastAsia" w:hAnsiTheme="minorEastAsia" w:eastAsiaTheme="minorEastAsia"/>
          <w:sz w:val="30"/>
          <w:szCs w:val="30"/>
        </w:rPr>
        <w:t>机关事业单位养老保险</w:t>
      </w:r>
      <w:r>
        <w:rPr>
          <w:rFonts w:hint="eastAsia" w:asciiTheme="minorEastAsia" w:hAnsiTheme="minorEastAsia" w:eastAsiaTheme="minorEastAsia"/>
          <w:bCs/>
          <w:sz w:val="30"/>
          <w:szCs w:val="30"/>
        </w:rPr>
        <w:t>离退休人员</w:t>
      </w:r>
      <w:r>
        <w:rPr>
          <w:rFonts w:hint="eastAsia" w:asciiTheme="minorEastAsia" w:hAnsiTheme="minorEastAsia" w:eastAsiaTheme="minorEastAsia"/>
          <w:bCs/>
          <w:sz w:val="30"/>
          <w:szCs w:val="30"/>
          <w:lang w:val="en-US" w:eastAsia="zh-CN"/>
        </w:rPr>
        <w:t>1813</w:t>
      </w:r>
      <w:r>
        <w:rPr>
          <w:rFonts w:hint="eastAsia" w:asciiTheme="minorEastAsia" w:hAnsiTheme="minorEastAsia" w:eastAsiaTheme="minorEastAsia"/>
          <w:bCs/>
          <w:sz w:val="30"/>
          <w:szCs w:val="30"/>
        </w:rPr>
        <w:t>人较上年</w:t>
      </w:r>
      <w:r>
        <w:rPr>
          <w:rFonts w:hint="eastAsia" w:asciiTheme="minorEastAsia" w:hAnsiTheme="minorEastAsia" w:eastAsiaTheme="minorEastAsia"/>
          <w:bCs/>
          <w:sz w:val="30"/>
          <w:szCs w:val="30"/>
          <w:lang w:val="en-US" w:eastAsia="zh-CN"/>
        </w:rPr>
        <w:t>1739</w:t>
      </w:r>
      <w:r>
        <w:rPr>
          <w:rFonts w:hint="eastAsia" w:asciiTheme="minorEastAsia" w:hAnsiTheme="minorEastAsia" w:eastAsiaTheme="minorEastAsia"/>
          <w:bCs/>
          <w:sz w:val="30"/>
          <w:szCs w:val="30"/>
        </w:rPr>
        <w:t>人</w:t>
      </w:r>
      <w:r>
        <w:rPr>
          <w:rFonts w:hint="eastAsia" w:asciiTheme="minorEastAsia" w:hAnsiTheme="minorEastAsia" w:eastAsiaTheme="minorEastAsia"/>
          <w:bCs/>
          <w:sz w:val="30"/>
          <w:szCs w:val="30"/>
          <w:lang w:eastAsia="zh-CN"/>
        </w:rPr>
        <w:t>净</w:t>
      </w:r>
      <w:r>
        <w:rPr>
          <w:rFonts w:hint="eastAsia" w:asciiTheme="minorEastAsia" w:hAnsiTheme="minorEastAsia" w:eastAsiaTheme="minorEastAsia"/>
          <w:bCs/>
          <w:sz w:val="30"/>
          <w:szCs w:val="30"/>
        </w:rPr>
        <w:t>增加</w:t>
      </w:r>
      <w:r>
        <w:rPr>
          <w:rFonts w:hint="eastAsia" w:asciiTheme="minorEastAsia" w:hAnsiTheme="minorEastAsia" w:eastAsiaTheme="minorEastAsia"/>
          <w:bCs/>
          <w:sz w:val="30"/>
          <w:szCs w:val="30"/>
          <w:lang w:val="en-US" w:eastAsia="zh-CN"/>
        </w:rPr>
        <w:t>74</w:t>
      </w:r>
      <w:r>
        <w:rPr>
          <w:rFonts w:hint="eastAsia" w:asciiTheme="minorEastAsia" w:hAnsiTheme="minorEastAsia" w:eastAsiaTheme="minorEastAsia"/>
          <w:bCs/>
          <w:sz w:val="30"/>
          <w:szCs w:val="30"/>
        </w:rPr>
        <w:t>人，增长</w:t>
      </w:r>
      <w:r>
        <w:rPr>
          <w:rFonts w:hint="eastAsia" w:asciiTheme="minorEastAsia" w:hAnsiTheme="minorEastAsia" w:eastAsiaTheme="minorEastAsia"/>
          <w:bCs/>
          <w:sz w:val="30"/>
          <w:szCs w:val="30"/>
          <w:lang w:val="en-US" w:eastAsia="zh-CN"/>
        </w:rPr>
        <w:t>4.25</w:t>
      </w:r>
      <w:r>
        <w:rPr>
          <w:rFonts w:hint="eastAsia" w:asciiTheme="minorEastAsia" w:hAnsiTheme="minorEastAsia" w:eastAsiaTheme="minorEastAsia"/>
          <w:bCs/>
          <w:sz w:val="30"/>
          <w:szCs w:val="30"/>
        </w:rPr>
        <w:t>%，</w:t>
      </w:r>
      <w:r>
        <w:rPr>
          <w:rFonts w:hint="eastAsia" w:asciiTheme="minorEastAsia" w:hAnsiTheme="minorEastAsia" w:eastAsiaTheme="minorEastAsia"/>
          <w:sz w:val="30"/>
          <w:szCs w:val="30"/>
        </w:rPr>
        <w:t>全年增加基本养老金支出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929万元</w:t>
      </w:r>
      <w:r>
        <w:rPr>
          <w:rFonts w:hint="eastAsia" w:asciiTheme="minorEastAsia" w:hAnsiTheme="minorEastAsia" w:eastAsiaTheme="minorEastAsia"/>
          <w:sz w:val="30"/>
          <w:szCs w:val="30"/>
        </w:rPr>
        <w:t>元。继续调整提高退休人员养老金水平，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泽普县</w:t>
      </w:r>
      <w:r>
        <w:rPr>
          <w:rFonts w:hint="eastAsia" w:asciiTheme="minorEastAsia" w:hAnsiTheme="minorEastAsia" w:eastAsiaTheme="minorEastAsia"/>
          <w:sz w:val="30"/>
          <w:szCs w:val="30"/>
        </w:rPr>
        <w:t>人均月增加养老金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235.90</w:t>
      </w:r>
      <w:r>
        <w:rPr>
          <w:rFonts w:hint="eastAsia" w:asciiTheme="minorEastAsia" w:hAnsiTheme="minorEastAsia" w:eastAsiaTheme="minorEastAsia"/>
          <w:sz w:val="30"/>
          <w:szCs w:val="30"/>
        </w:rPr>
        <w:t>元，调整幅度4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.03</w:t>
      </w:r>
      <w:r>
        <w:rPr>
          <w:rFonts w:hint="eastAsia" w:asciiTheme="minorEastAsia" w:hAnsiTheme="minorEastAsia" w:eastAsiaTheme="minorEastAsia"/>
          <w:sz w:val="30"/>
          <w:szCs w:val="30"/>
        </w:rPr>
        <w:t>%，全年增加基金支出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484万</w:t>
      </w:r>
      <w:r>
        <w:rPr>
          <w:rFonts w:hint="eastAsia" w:asciiTheme="minorEastAsia" w:hAnsiTheme="minorEastAsia" w:eastAsiaTheme="minorEastAsia"/>
          <w:sz w:val="30"/>
          <w:szCs w:val="30"/>
        </w:rPr>
        <w:t xml:space="preserve">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7"/>
        <w:textAlignment w:val="auto"/>
        <w:outlineLvl w:val="9"/>
        <w:rPr>
          <w:rStyle w:val="19"/>
          <w:rFonts w:cs="仿宋_GB2312" w:asciiTheme="minorEastAsia" w:hAnsiTheme="minorEastAsia" w:eastAsiaTheme="minorEastAsia"/>
          <w:b w:val="0"/>
          <w:spacing w:val="-4"/>
          <w:sz w:val="30"/>
          <w:szCs w:val="30"/>
        </w:rPr>
      </w:pPr>
      <w:r>
        <w:rPr>
          <w:rStyle w:val="19"/>
          <w:rFonts w:hint="eastAsia" w:cs="仿宋_GB2312" w:asciiTheme="minorEastAsia" w:hAnsiTheme="minorEastAsia" w:eastAsiaTheme="minorEastAsia"/>
          <w:b w:val="0"/>
          <w:spacing w:val="-4"/>
          <w:sz w:val="30"/>
          <w:szCs w:val="30"/>
          <w:lang w:val="en-US" w:eastAsia="zh-CN"/>
        </w:rPr>
        <w:t>2</w:t>
      </w:r>
      <w:r>
        <w:rPr>
          <w:rStyle w:val="19"/>
          <w:rFonts w:hint="eastAsia" w:cs="仿宋_GB2312" w:asciiTheme="minorEastAsia" w:hAnsiTheme="minorEastAsia" w:eastAsiaTheme="minorEastAsia"/>
          <w:b w:val="0"/>
          <w:spacing w:val="-4"/>
          <w:sz w:val="30"/>
          <w:szCs w:val="30"/>
        </w:rPr>
        <w:t>、城乡居民养老保险基金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0" w:firstLineChars="200"/>
        <w:jc w:val="left"/>
        <w:textAlignment w:val="auto"/>
        <w:outlineLvl w:val="9"/>
        <w:rPr>
          <w:rFonts w:cs="仿宋_GB2312" w:asciiTheme="minorEastAsia" w:hAnsiTheme="minorEastAsia" w:eastAsiaTheme="minorEastAsia"/>
          <w:bCs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基金总支出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3079万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元,其中：基础养老金支出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2712万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元，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与上年同期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2558万元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相比增加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val="en-US" w:eastAsia="zh-CN"/>
        </w:rPr>
        <w:t>154万元，增长6.02%，完成预算2656万元的102.11%，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每月25日前按时足额发放养老金，首次待遇发放准确率</w:t>
      </w:r>
      <w:r>
        <w:rPr>
          <w:rFonts w:cs="仿宋_GB2312" w:asciiTheme="minorEastAsia" w:hAnsiTheme="minorEastAsia" w:eastAsiaTheme="minorEastAsia"/>
          <w:bCs/>
          <w:sz w:val="30"/>
          <w:szCs w:val="30"/>
        </w:rPr>
        <w:t>99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％以上，参保群众满意率</w:t>
      </w:r>
      <w:r>
        <w:rPr>
          <w:rFonts w:cs="仿宋_GB2312" w:asciiTheme="minorEastAsia" w:hAnsiTheme="minorEastAsia" w:eastAsiaTheme="minorEastAsia"/>
          <w:bCs/>
          <w:sz w:val="30"/>
          <w:szCs w:val="30"/>
        </w:rPr>
        <w:t>99%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0" w:firstLineChars="200"/>
        <w:textAlignment w:val="auto"/>
        <w:outlineLvl w:val="9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全年保障领取养老金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eastAsia="zh-CN"/>
        </w:rPr>
        <w:t>待遇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人员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val="en-US" w:eastAsia="zh-CN"/>
        </w:rPr>
        <w:t>14619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人的养老金发放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val="en-US" w:eastAsia="zh-CN"/>
        </w:rPr>
        <w:t>2712万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元，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eastAsia="zh-CN"/>
        </w:rPr>
        <w:t>支付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死亡人员丧葬费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val="en-US" w:eastAsia="zh-CN"/>
        </w:rPr>
        <w:t>98万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元。转移基本养老金支出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val="en-US" w:eastAsia="zh-CN"/>
        </w:rPr>
        <w:t>26万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/>
        <w:textAlignment w:val="auto"/>
        <w:outlineLvl w:val="9"/>
        <w:rPr>
          <w:rStyle w:val="19"/>
          <w:rFonts w:cs="仿宋_GB2312" w:asciiTheme="minorEastAsia" w:hAnsiTheme="minorEastAsia" w:eastAsiaTheme="minorEastAsia"/>
          <w:bCs w:val="0"/>
          <w:spacing w:val="-4"/>
          <w:sz w:val="30"/>
          <w:szCs w:val="30"/>
        </w:rPr>
      </w:pPr>
      <w:r>
        <w:rPr>
          <w:rStyle w:val="19"/>
          <w:rFonts w:hint="eastAsia" w:cs="仿宋_GB2312" w:asciiTheme="minorEastAsia" w:hAnsiTheme="minorEastAsia" w:eastAsiaTheme="minorEastAsia"/>
          <w:bCs w:val="0"/>
          <w:spacing w:val="-4"/>
          <w:sz w:val="30"/>
          <w:szCs w:val="30"/>
        </w:rPr>
        <w:t>四、其他需要说明的问题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7"/>
        <w:textAlignment w:val="auto"/>
        <w:outlineLvl w:val="9"/>
        <w:rPr>
          <w:rStyle w:val="19"/>
          <w:rFonts w:cs="仿宋_GB2312" w:asciiTheme="minorEastAsia" w:hAnsiTheme="minorEastAsia" w:eastAsiaTheme="minorEastAsia"/>
          <w:b w:val="0"/>
          <w:spacing w:val="-4"/>
          <w:sz w:val="30"/>
          <w:szCs w:val="30"/>
        </w:rPr>
      </w:pPr>
      <w:r>
        <w:rPr>
          <w:rStyle w:val="19"/>
          <w:rFonts w:hint="eastAsia" w:cs="仿宋_GB2312" w:asciiTheme="minorEastAsia" w:hAnsiTheme="minorEastAsia" w:eastAsiaTheme="minorEastAsia"/>
          <w:b w:val="0"/>
          <w:spacing w:val="-4"/>
          <w:sz w:val="30"/>
          <w:szCs w:val="30"/>
        </w:rPr>
        <w:t>（一）后续工作计划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0" w:firstLineChars="200"/>
        <w:textAlignment w:val="auto"/>
        <w:outlineLvl w:val="9"/>
        <w:rPr>
          <w:rFonts w:cs="仿宋_GB2312" w:asciiTheme="minorEastAsia" w:hAnsiTheme="minorEastAsia" w:eastAsiaTheme="minorEastAsia"/>
          <w:bCs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养老保险按国家统一安排、同步调整企业和机关事业单位退休人员基本养老金。继续推动机关事业单位养老保险改革，全面实现参保缴费、待遇发放和新办法计发。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84" w:firstLineChars="200"/>
        <w:textAlignment w:val="auto"/>
        <w:outlineLvl w:val="9"/>
        <w:rPr>
          <w:rStyle w:val="19"/>
          <w:rFonts w:cs="仿宋_GB2312" w:asciiTheme="minorEastAsia" w:hAnsiTheme="minorEastAsia" w:eastAsiaTheme="minorEastAsia"/>
          <w:b w:val="0"/>
          <w:spacing w:val="-4"/>
          <w:sz w:val="30"/>
          <w:szCs w:val="30"/>
        </w:rPr>
      </w:pPr>
      <w:r>
        <w:rPr>
          <w:rStyle w:val="19"/>
          <w:rFonts w:hint="eastAsia" w:cs="仿宋_GB2312" w:asciiTheme="minorEastAsia" w:hAnsiTheme="minorEastAsia" w:eastAsiaTheme="minorEastAsia"/>
          <w:b w:val="0"/>
          <w:spacing w:val="-4"/>
          <w:sz w:val="30"/>
          <w:szCs w:val="30"/>
        </w:rPr>
        <w:t>主要经验及做法、存在问题和建议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outlineLvl w:val="9"/>
        <w:rPr>
          <w:rFonts w:cs="仿宋_GB2312" w:asciiTheme="minorEastAsia" w:hAnsiTheme="minorEastAsia" w:eastAsiaTheme="minorEastAsia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sz w:val="30"/>
          <w:szCs w:val="30"/>
          <w:lang w:eastAsia="zh-CN"/>
        </w:rPr>
        <w:t>2020</w:t>
      </w:r>
      <w:r>
        <w:rPr>
          <w:rFonts w:hint="eastAsia" w:cs="仿宋_GB2312" w:asciiTheme="minorEastAsia" w:hAnsiTheme="minorEastAsia" w:eastAsiaTheme="minorEastAsia"/>
          <w:sz w:val="30"/>
          <w:szCs w:val="30"/>
          <w:lang w:val="en-US" w:eastAsia="zh-CN"/>
        </w:rPr>
        <w:t>1</w:t>
      </w:r>
      <w:r>
        <w:rPr>
          <w:rFonts w:hint="eastAsia" w:cs="仿宋_GB2312" w:asciiTheme="minorEastAsia" w:hAnsiTheme="minorEastAsia" w:eastAsiaTheme="minorEastAsia"/>
          <w:sz w:val="30"/>
          <w:szCs w:val="30"/>
          <w:lang w:eastAsia="zh-CN"/>
        </w:rPr>
        <w:t>年</w:t>
      </w:r>
      <w:r>
        <w:rPr>
          <w:rFonts w:hint="eastAsia" w:cs="仿宋_GB2312" w:asciiTheme="minorEastAsia" w:hAnsiTheme="minorEastAsia" w:eastAsiaTheme="minorEastAsia"/>
          <w:sz w:val="30"/>
          <w:szCs w:val="30"/>
        </w:rPr>
        <w:t>是实施“十三五”规划的</w:t>
      </w:r>
      <w:r>
        <w:rPr>
          <w:rFonts w:hint="eastAsia" w:cs="仿宋_GB2312" w:asciiTheme="minorEastAsia" w:hAnsiTheme="minorEastAsia" w:eastAsiaTheme="minorEastAsia"/>
          <w:sz w:val="30"/>
          <w:szCs w:val="30"/>
          <w:lang w:eastAsia="zh-CN"/>
        </w:rPr>
        <w:t>收关之</w:t>
      </w:r>
      <w:r>
        <w:rPr>
          <w:rFonts w:hint="eastAsia" w:cs="仿宋_GB2312" w:asciiTheme="minorEastAsia" w:hAnsiTheme="minorEastAsia" w:eastAsiaTheme="minorEastAsia"/>
          <w:sz w:val="30"/>
          <w:szCs w:val="30"/>
        </w:rPr>
        <w:t>年，也是社会保障事业发展进入新阶段、实现新发展的关键之年。</w:t>
      </w:r>
      <w:r>
        <w:rPr>
          <w:rFonts w:hint="eastAsia" w:cs="仿宋_GB2312" w:asciiTheme="minorEastAsia" w:hAnsiTheme="minorEastAsia" w:eastAsiaTheme="minorEastAsia"/>
          <w:sz w:val="30"/>
          <w:szCs w:val="30"/>
          <w:lang w:eastAsia="zh-CN"/>
        </w:rPr>
        <w:t>泽普经办机构</w:t>
      </w:r>
      <w:r>
        <w:rPr>
          <w:rFonts w:hint="eastAsia" w:cs="仿宋_GB2312" w:asciiTheme="minorEastAsia" w:hAnsiTheme="minorEastAsia" w:eastAsiaTheme="minorEastAsia"/>
          <w:sz w:val="30"/>
          <w:szCs w:val="30"/>
        </w:rPr>
        <w:t>以基金安全运行为根本，以提高管理服务水平为重点，严格执行社会保险各项政策，建立健全内部控制制度，确保待遇发放，基金运行总体平稳。通过逐步提高保险待遇支付标准，使参保人员的获得感、幸福感不断增强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outlineLvl w:val="9"/>
        <w:rPr>
          <w:rFonts w:cs="仿宋_GB2312" w:asciiTheme="minorEastAsia" w:hAnsiTheme="minorEastAsia" w:eastAsiaTheme="minorEastAsia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sz w:val="30"/>
          <w:szCs w:val="30"/>
          <w:lang w:eastAsia="zh-CN"/>
        </w:rPr>
        <w:t>泽普县</w:t>
      </w:r>
      <w:r>
        <w:rPr>
          <w:rFonts w:hint="eastAsia" w:cs="仿宋_GB2312" w:asciiTheme="minorEastAsia" w:hAnsiTheme="minorEastAsia" w:eastAsiaTheme="minorEastAsia"/>
          <w:sz w:val="30"/>
          <w:szCs w:val="30"/>
        </w:rPr>
        <w:t>社保经办机构按照“流程覆盖、环节把控、职责明确”的工作思路，把内控制度体系建设作为根本，实现经办和管理工作</w:t>
      </w:r>
      <w:r>
        <w:rPr>
          <w:rFonts w:hint="eastAsia" w:cs="仿宋_GB2312" w:asciiTheme="minorEastAsia" w:hAnsiTheme="minorEastAsia" w:eastAsiaTheme="minorEastAsia"/>
          <w:sz w:val="30"/>
          <w:szCs w:val="30"/>
          <w:lang w:eastAsia="zh-CN"/>
        </w:rPr>
        <w:t>逐步</w:t>
      </w:r>
      <w:r>
        <w:rPr>
          <w:rFonts w:hint="eastAsia" w:cs="仿宋_GB2312" w:asciiTheme="minorEastAsia" w:hAnsiTheme="minorEastAsia" w:eastAsiaTheme="minorEastAsia"/>
          <w:sz w:val="30"/>
          <w:szCs w:val="30"/>
        </w:rPr>
        <w:t>规范、有效运行，保障基金安全。一是健全综合内控制度。从组织机构、业务运行、基金财务、信息系统、内部控制等方面，制定内控制度、业务流程、岗位职责等，参保人员均按规定办理参保登记、个人账户信息修改、缴费等业务，严格执行统一的会计制度和收支业务审批制度，社保基金按规定对基金分别建账、分账核算，基金收入户、支出户和财政专户按规定开设账户，严格实行收支两条线管理，全面实行全程电子化</w:t>
      </w:r>
      <w:r>
        <w:rPr>
          <w:rFonts w:hint="eastAsia" w:cs="仿宋_GB2312" w:asciiTheme="minorEastAsia" w:hAnsiTheme="minorEastAsia" w:eastAsiaTheme="minorEastAsia"/>
          <w:sz w:val="30"/>
          <w:szCs w:val="30"/>
          <w:lang w:eastAsia="zh-CN"/>
        </w:rPr>
        <w:t>收支</w:t>
      </w:r>
      <w:r>
        <w:rPr>
          <w:rFonts w:hint="eastAsia" w:cs="仿宋_GB2312" w:asciiTheme="minorEastAsia" w:hAnsiTheme="minorEastAsia" w:eastAsiaTheme="minorEastAsia"/>
          <w:sz w:val="30"/>
          <w:szCs w:val="30"/>
        </w:rPr>
        <w:t>，杜绝</w:t>
      </w:r>
      <w:r>
        <w:rPr>
          <w:rFonts w:hint="eastAsia" w:cs="仿宋_GB2312" w:asciiTheme="minorEastAsia" w:hAnsiTheme="minorEastAsia" w:eastAsiaTheme="minorEastAsia"/>
          <w:sz w:val="30"/>
          <w:szCs w:val="30"/>
          <w:lang w:eastAsia="zh-CN"/>
        </w:rPr>
        <w:t>挤</w:t>
      </w:r>
      <w:r>
        <w:rPr>
          <w:rFonts w:hint="eastAsia" w:cs="仿宋_GB2312" w:asciiTheme="minorEastAsia" w:hAnsiTheme="minorEastAsia" w:eastAsiaTheme="minorEastAsia"/>
          <w:sz w:val="30"/>
          <w:szCs w:val="30"/>
        </w:rPr>
        <w:t>占、挪用基金的现象，确保基金专款专用。二是建立完善内控</w:t>
      </w:r>
      <w:r>
        <w:rPr>
          <w:rFonts w:hint="eastAsia" w:cs="仿宋_GB2312" w:asciiTheme="minorEastAsia" w:hAnsiTheme="minorEastAsia" w:eastAsiaTheme="minorEastAsia"/>
          <w:sz w:val="30"/>
          <w:szCs w:val="30"/>
          <w:lang w:eastAsia="zh-CN"/>
        </w:rPr>
        <w:t>制度</w:t>
      </w:r>
      <w:r>
        <w:rPr>
          <w:rFonts w:hint="eastAsia" w:cs="仿宋_GB2312" w:asciiTheme="minorEastAsia" w:hAnsiTheme="minorEastAsia" w:eastAsiaTheme="minorEastAsia"/>
          <w:sz w:val="30"/>
          <w:szCs w:val="30"/>
        </w:rPr>
        <w:t>，按规定设置岗位，</w:t>
      </w:r>
      <w:r>
        <w:rPr>
          <w:rFonts w:hint="eastAsia" w:cs="仿宋_GB2312" w:asciiTheme="minorEastAsia" w:hAnsiTheme="minorEastAsia" w:eastAsiaTheme="minorEastAsia"/>
          <w:sz w:val="30"/>
          <w:szCs w:val="30"/>
          <w:lang w:eastAsia="zh-CN"/>
        </w:rPr>
        <w:t>分配权限，</w:t>
      </w:r>
      <w:r>
        <w:rPr>
          <w:rFonts w:hint="eastAsia" w:cs="仿宋_GB2312" w:asciiTheme="minorEastAsia" w:hAnsiTheme="minorEastAsia" w:eastAsiaTheme="minorEastAsia"/>
          <w:sz w:val="30"/>
          <w:szCs w:val="30"/>
        </w:rPr>
        <w:t>加强管理，严格遵守不相容职务相互分离的原则，业务审核岗位和审批岗位分离、审批岗位与计发待遇岗位分离、审批岗位与数据录入岗位分离、会计岗位与出纳岗位分离</w:t>
      </w:r>
      <w:r>
        <w:rPr>
          <w:rFonts w:cs="仿宋_GB2312" w:asciiTheme="minorEastAsia" w:hAnsiTheme="minorEastAsia" w:eastAsiaTheme="minorEastAsia"/>
          <w:sz w:val="30"/>
          <w:szCs w:val="30"/>
        </w:rPr>
        <w:t>;</w:t>
      </w:r>
      <w:r>
        <w:rPr>
          <w:rFonts w:hint="eastAsia" w:cs="仿宋_GB2312" w:asciiTheme="minorEastAsia" w:hAnsiTheme="minorEastAsia" w:eastAsiaTheme="minorEastAsia"/>
          <w:sz w:val="30"/>
          <w:szCs w:val="30"/>
        </w:rPr>
        <w:t>无违反业务规程、信息系统操作流程规定以及岗位职责、审批权限，办理社会保险业务、修改社会保险信息的现象</w:t>
      </w:r>
      <w:r>
        <w:rPr>
          <w:rFonts w:cs="仿宋_GB2312" w:asciiTheme="minorEastAsia" w:hAnsiTheme="minorEastAsia" w:eastAsiaTheme="minorEastAsia"/>
          <w:sz w:val="30"/>
          <w:szCs w:val="30"/>
        </w:rPr>
        <w:t>;</w:t>
      </w:r>
      <w:r>
        <w:rPr>
          <w:rFonts w:hint="eastAsia" w:cs="仿宋_GB2312" w:asciiTheme="minorEastAsia" w:hAnsiTheme="minorEastAsia" w:eastAsiaTheme="minorEastAsia"/>
          <w:sz w:val="30"/>
          <w:szCs w:val="30"/>
        </w:rPr>
        <w:t>财务与业务按月对账，按规定与基金开户银行、财政部门和上下级经办机构等核对基金的收付情况</w:t>
      </w:r>
      <w:r>
        <w:rPr>
          <w:rFonts w:cs="仿宋_GB2312" w:asciiTheme="minorEastAsia" w:hAnsiTheme="minorEastAsia" w:eastAsiaTheme="minorEastAsia"/>
          <w:sz w:val="30"/>
          <w:szCs w:val="30"/>
        </w:rPr>
        <w:t>;</w:t>
      </w:r>
      <w:r>
        <w:rPr>
          <w:rFonts w:hint="eastAsia" w:cs="仿宋_GB2312" w:asciiTheme="minorEastAsia" w:hAnsiTheme="minorEastAsia" w:eastAsiaTheme="minorEastAsia"/>
          <w:sz w:val="30"/>
          <w:szCs w:val="30"/>
        </w:rPr>
        <w:t>严格执行基金支付政策，足额发放待遇，做到不拖欠、不挪用、不挤占社保基金。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outlineLvl w:val="9"/>
        <w:rPr>
          <w:rFonts w:hint="eastAsia" w:cs="仿宋_GB2312" w:asciiTheme="minorEastAsia" w:hAnsiTheme="minorEastAsia" w:eastAsiaTheme="minorEastAsia"/>
          <w:bCs/>
          <w:color w:val="000000"/>
          <w:kern w:val="0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但还存在</w:t>
      </w:r>
      <w:r>
        <w:rPr>
          <w:rFonts w:hint="eastAsia" w:cs="仿宋_GB2312" w:asciiTheme="minorEastAsia" w:hAnsiTheme="minorEastAsia" w:eastAsiaTheme="minorEastAsia"/>
          <w:bCs/>
          <w:color w:val="000000"/>
          <w:kern w:val="0"/>
          <w:sz w:val="30"/>
          <w:szCs w:val="30"/>
        </w:rPr>
        <w:t>以下问题：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outlineLvl w:val="9"/>
        <w:rPr>
          <w:rFonts w:hint="eastAsia" w:cs="仿宋_GB2312" w:asciiTheme="minorEastAsia" w:hAnsiTheme="minorEastAsia" w:eastAsiaTheme="minorEastAsia"/>
          <w:bCs/>
          <w:color w:val="000000"/>
          <w:kern w:val="0"/>
          <w:sz w:val="30"/>
          <w:szCs w:val="30"/>
          <w:lang w:eastAsia="zh-CN"/>
        </w:rPr>
      </w:pPr>
      <w:r>
        <w:rPr>
          <w:rFonts w:hint="eastAsia" w:cs="仿宋_GB2312" w:asciiTheme="minorEastAsia" w:hAnsiTheme="minorEastAsia" w:eastAsiaTheme="minorEastAsia"/>
          <w:bCs/>
          <w:color w:val="000000"/>
          <w:kern w:val="0"/>
          <w:sz w:val="30"/>
          <w:szCs w:val="30"/>
        </w:rPr>
        <w:t>一是</w:t>
      </w:r>
      <w:r>
        <w:rPr>
          <w:rFonts w:hint="eastAsia" w:cs="仿宋_GB2312" w:asciiTheme="minorEastAsia" w:hAnsiTheme="minorEastAsia" w:eastAsiaTheme="minorEastAsia"/>
          <w:bCs/>
          <w:color w:val="000000"/>
          <w:kern w:val="0"/>
          <w:sz w:val="30"/>
          <w:szCs w:val="30"/>
          <w:lang w:eastAsia="zh-CN"/>
        </w:rPr>
        <w:t>城乡居民养老保险因财政资金困难，县级配套资金未能补助到位，存在着挤占个人账户情况，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outlineLvl w:val="9"/>
        <w:rPr>
          <w:rFonts w:hint="eastAsia" w:cs="仿宋_GB2312" w:asciiTheme="minorEastAsia" w:hAnsiTheme="minorEastAsia" w:eastAsiaTheme="minorEastAsia"/>
          <w:bCs/>
          <w:color w:val="000000"/>
          <w:kern w:val="0"/>
          <w:sz w:val="30"/>
          <w:szCs w:val="30"/>
          <w:lang w:eastAsia="zh-CN"/>
        </w:rPr>
      </w:pPr>
      <w:r>
        <w:rPr>
          <w:rFonts w:hint="eastAsia" w:cs="仿宋_GB2312" w:asciiTheme="minorEastAsia" w:hAnsiTheme="minorEastAsia" w:eastAsiaTheme="minorEastAsia"/>
          <w:bCs/>
          <w:color w:val="000000"/>
          <w:kern w:val="0"/>
          <w:sz w:val="30"/>
          <w:szCs w:val="30"/>
        </w:rPr>
        <w:t>二是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工作人员业务经办水平有待提高，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eastAsia="zh-CN"/>
        </w:rPr>
        <w:t>经办操作中解决问题能力不强，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对业务经办人员的培训工作有待加强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outlineLvl w:val="9"/>
        <w:rPr>
          <w:rFonts w:hint="eastAsia" w:cs="仿宋_GB2312" w:asciiTheme="minorEastAsia" w:hAnsiTheme="minorEastAsia" w:eastAsiaTheme="minorEastAsia"/>
          <w:bCs/>
          <w:sz w:val="30"/>
          <w:szCs w:val="30"/>
          <w:lang w:eastAsia="zh-CN"/>
        </w:rPr>
      </w:pP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下一步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eastAsia="zh-CN"/>
        </w:rPr>
        <w:t>工作：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outlineLvl w:val="9"/>
        <w:rPr>
          <w:rFonts w:cs="仿宋_GB2312" w:asciiTheme="minorEastAsia" w:hAnsiTheme="minorEastAsia" w:eastAsiaTheme="minorEastAsia"/>
          <w:bCs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进一步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推进“全民参保计划”，积极采取措施、创新机制，扩大社会保险覆盖面，强化基金征缴，做到应收尽收，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lang w:eastAsia="zh-CN"/>
        </w:rPr>
        <w:t>应保尽保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</w:rPr>
        <w:t>。做好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风险防控工作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eastAsia="zh-CN"/>
        </w:rPr>
        <w:t>，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加大对经办工作的监督，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eastAsia="zh-CN"/>
        </w:rPr>
        <w:t>梳理风险点，查找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薄弱点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eastAsia="zh-CN"/>
        </w:rPr>
        <w:t>，采取措施，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堵塞经办环节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eastAsia="zh-CN"/>
        </w:rPr>
        <w:t>中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的漏洞，规范经办机构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lang w:eastAsia="zh-CN"/>
        </w:rPr>
        <w:t>安全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</w:rPr>
        <w:t>运行，确保基金安全。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/>
        <w:textAlignment w:val="auto"/>
        <w:outlineLvl w:val="9"/>
        <w:rPr>
          <w:rStyle w:val="19"/>
          <w:rFonts w:cs="仿宋_GB2312" w:asciiTheme="minorEastAsia" w:hAnsiTheme="minorEastAsia" w:eastAsiaTheme="minorEastAsia"/>
          <w:b w:val="0"/>
          <w:spacing w:val="-4"/>
          <w:sz w:val="30"/>
          <w:szCs w:val="30"/>
        </w:rPr>
      </w:pPr>
      <w:r>
        <w:rPr>
          <w:rStyle w:val="19"/>
          <w:rFonts w:hint="eastAsia" w:cs="仿宋_GB2312" w:asciiTheme="minorEastAsia" w:hAnsiTheme="minorEastAsia" w:eastAsiaTheme="minorEastAsia"/>
          <w:b w:val="0"/>
          <w:spacing w:val="-4"/>
          <w:sz w:val="30"/>
          <w:szCs w:val="30"/>
        </w:rPr>
        <w:t>五、附表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7"/>
        <w:textAlignment w:val="auto"/>
        <w:outlineLvl w:val="9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  <w:r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  <w:lang w:eastAsia="zh-CN"/>
        </w:rPr>
        <w:t>泽普县</w:t>
      </w:r>
      <w:r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  <w:t>社会保险支出绩效自评表</w:t>
      </w:r>
    </w:p>
    <w:p>
      <w:pPr>
        <w:pStyle w:val="2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p>
      <w:pPr>
        <w:pStyle w:val="2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p>
      <w:pPr>
        <w:pStyle w:val="2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p>
      <w:pPr>
        <w:pStyle w:val="2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p>
      <w:pPr>
        <w:pStyle w:val="2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p>
      <w:pPr>
        <w:pStyle w:val="2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tbl>
      <w:tblPr>
        <w:tblStyle w:val="21"/>
        <w:tblW w:w="85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4"/>
        <w:gridCol w:w="1080"/>
        <w:gridCol w:w="1369"/>
        <w:gridCol w:w="453"/>
        <w:gridCol w:w="667"/>
        <w:gridCol w:w="2142"/>
        <w:gridCol w:w="22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</w:trPr>
        <w:tc>
          <w:tcPr>
            <w:tcW w:w="8578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喀什地区社会保险支出绩效自评表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78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（2021年度）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机关事业单位养老保险基金支出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社会保险基金预算支出部门</w:t>
            </w:r>
          </w:p>
        </w:tc>
        <w:tc>
          <w:tcPr>
            <w:tcW w:w="5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泽普县社会保险中心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预算执行情况</w:t>
            </w:r>
          </w:p>
        </w:tc>
        <w:tc>
          <w:tcPr>
            <w:tcW w:w="24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预算数：</w:t>
            </w:r>
          </w:p>
        </w:tc>
        <w:tc>
          <w:tcPr>
            <w:tcW w:w="11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13356</w:t>
            </w:r>
          </w:p>
        </w:tc>
        <w:tc>
          <w:tcPr>
            <w:tcW w:w="21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执行数：</w:t>
            </w:r>
          </w:p>
        </w:tc>
        <w:tc>
          <w:tcPr>
            <w:tcW w:w="22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其中：社会保险基金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13356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其中：社会保险基金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年度目标完成情况</w:t>
            </w:r>
          </w:p>
        </w:tc>
        <w:tc>
          <w:tcPr>
            <w:tcW w:w="356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43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</w:trPr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聚焦总目标，确保我县离退休人员按期足额领取养老金待遇，按期调整待遇，让离退休人员享受国家发展改革成果，安享晚年，确保社会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和长治久安。</w:t>
            </w:r>
            <w:bookmarkEnd w:id="0"/>
          </w:p>
        </w:tc>
        <w:tc>
          <w:tcPr>
            <w:tcW w:w="43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泽普县严格执行社保基金管理法规政策，按期足额发放养老金待遇，调增离退休人员基本养老金，安享晚年，保证参保人员权益，未发生基金管理运行风险。完成年度预算的98.67%，达到了预期目标，确保了社会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和长治久安。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6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预期指标值（包含数字及文字描述）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项目完成指标</w:t>
            </w: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参保缴费人数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8267人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绩效目标完成情况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保障退休待遇人数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基本养老收入预算执行率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105%≤≥95%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102.82%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基本养老支出预算执行率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105%≤≥95%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98.67%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养老保险待遇首次发放成功率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养老金首次转移成功率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养老金发放时效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每月25日前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每月25日前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基金使用符合政策规定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项目效益指标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让离退休人员安享晚年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充分发挥社会保险的职能作用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充分发挥社会保险的职能作用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可持续影响力指标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离退休人员上访率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上访率控制在0.1%以内，维护社会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，长治久安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上访率0，维护社会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，长治久安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离休退人员满意度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</w:tr>
    </w:tbl>
    <w:p>
      <w:pPr>
        <w:pStyle w:val="2"/>
        <w:jc w:val="both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p>
      <w:pPr>
        <w:pStyle w:val="2"/>
        <w:jc w:val="both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p>
      <w:pPr>
        <w:pStyle w:val="2"/>
        <w:jc w:val="both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p>
      <w:pPr>
        <w:pStyle w:val="2"/>
        <w:jc w:val="both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p>
      <w:pPr>
        <w:pStyle w:val="2"/>
        <w:jc w:val="both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p>
      <w:pPr>
        <w:pStyle w:val="2"/>
        <w:jc w:val="both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p>
      <w:pPr>
        <w:pStyle w:val="2"/>
        <w:jc w:val="both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p>
      <w:pPr>
        <w:pStyle w:val="2"/>
        <w:jc w:val="both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p>
      <w:pPr>
        <w:pStyle w:val="2"/>
        <w:jc w:val="both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p>
      <w:pPr>
        <w:pStyle w:val="2"/>
        <w:jc w:val="both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p>
      <w:pPr>
        <w:pStyle w:val="2"/>
        <w:jc w:val="both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p>
      <w:pPr>
        <w:pStyle w:val="2"/>
        <w:jc w:val="both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p>
      <w:pPr>
        <w:pStyle w:val="2"/>
        <w:jc w:val="both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p>
      <w:pPr>
        <w:pStyle w:val="2"/>
        <w:jc w:val="both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p>
      <w:pPr>
        <w:pStyle w:val="2"/>
        <w:jc w:val="both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p>
      <w:pPr>
        <w:pStyle w:val="2"/>
        <w:jc w:val="both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p>
      <w:pPr>
        <w:pStyle w:val="2"/>
        <w:jc w:val="both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tbl>
      <w:tblPr>
        <w:tblStyle w:val="21"/>
        <w:tblW w:w="85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6"/>
        <w:gridCol w:w="1044"/>
        <w:gridCol w:w="1321"/>
        <w:gridCol w:w="405"/>
        <w:gridCol w:w="1032"/>
        <w:gridCol w:w="1869"/>
        <w:gridCol w:w="22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</w:trPr>
        <w:tc>
          <w:tcPr>
            <w:tcW w:w="8578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泽普县社会保险支出绩效自评表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78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（2021年度）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5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城乡居民养老保险基金支出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社会保险基金预算支出部门</w:t>
            </w:r>
          </w:p>
        </w:tc>
        <w:tc>
          <w:tcPr>
            <w:tcW w:w="55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泽普县社会保险中心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预算执行情况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预算数：</w:t>
            </w:r>
          </w:p>
        </w:tc>
        <w:tc>
          <w:tcPr>
            <w:tcW w:w="143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2940</w:t>
            </w:r>
          </w:p>
        </w:tc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执行数：</w:t>
            </w:r>
          </w:p>
        </w:tc>
        <w:tc>
          <w:tcPr>
            <w:tcW w:w="22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其中：社会保险基金</w:t>
            </w:r>
          </w:p>
        </w:tc>
        <w:tc>
          <w:tcPr>
            <w:tcW w:w="1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其中：社会保险基金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年度目标完成情况</w:t>
            </w:r>
          </w:p>
        </w:tc>
        <w:tc>
          <w:tcPr>
            <w:tcW w:w="380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41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聚焦总目标，确保离退休人员按期足额领取养老金待遇，按期调整待遇，让离退休人员享受国家发展改革成果，安享晚年，确保社会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和长治久安。</w:t>
            </w:r>
          </w:p>
        </w:tc>
        <w:tc>
          <w:tcPr>
            <w:tcW w:w="41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普县社会保险中心严格执行社保基金管理法规政策，按期足额发放养老金待遇，调增离退休人员基本养老金，安享晚年，保证参保人员权益，未发生基金管理运行风险。完成年度预算的104.72%，达到了预期目标，确保了社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和长治久安。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预期指标值（包含数字及文字描述）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项目完成指标</w:t>
            </w:r>
          </w:p>
        </w:tc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缴费人数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85116人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85005人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保障退休待遇人数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14619人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基本养老收入预算执行率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105%≤≥95%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97.68%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基本养老支出预算执行率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105%≤≥95%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104.72%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养老保险待遇首次发放成功率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养老金首次转移成功率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养老金发放时效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每月25日前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每月25日前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基金使用符合政策规定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项目效益指标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让离退休人员安享晚年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充分发挥社会保险的职能作用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充分发挥社会保险的职能作用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可持续影响力指标</w:t>
            </w:r>
          </w:p>
        </w:tc>
        <w:tc>
          <w:tcPr>
            <w:tcW w:w="1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离退休人员上访率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上访率控制在0.1%以内，维护社会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，长治久安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上访率0，维护社会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，长治久安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离休退人员满意度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6" w:type="dxa"/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44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1" w:type="dxa"/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jc w:val="both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sectPr>
      <w:footerReference r:id="rId3" w:type="default"/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1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EF3810"/>
    <w:multiLevelType w:val="singleLevel"/>
    <w:tmpl w:val="DCEF381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rsids>
    <w:rsidRoot w:val="00CA6457"/>
    <w:rsid w:val="0000727F"/>
    <w:rsid w:val="00056465"/>
    <w:rsid w:val="000873E4"/>
    <w:rsid w:val="000A314D"/>
    <w:rsid w:val="000B6C35"/>
    <w:rsid w:val="000F165B"/>
    <w:rsid w:val="001077C8"/>
    <w:rsid w:val="00121AE4"/>
    <w:rsid w:val="00146AAD"/>
    <w:rsid w:val="00187D80"/>
    <w:rsid w:val="001B3A40"/>
    <w:rsid w:val="001B6CEB"/>
    <w:rsid w:val="001E2777"/>
    <w:rsid w:val="001E6AC1"/>
    <w:rsid w:val="001F3F14"/>
    <w:rsid w:val="002766A9"/>
    <w:rsid w:val="002B62F6"/>
    <w:rsid w:val="002C4738"/>
    <w:rsid w:val="00305CAA"/>
    <w:rsid w:val="00314008"/>
    <w:rsid w:val="00325819"/>
    <w:rsid w:val="00392327"/>
    <w:rsid w:val="003B4051"/>
    <w:rsid w:val="004001F8"/>
    <w:rsid w:val="004366A8"/>
    <w:rsid w:val="004973F4"/>
    <w:rsid w:val="004C274C"/>
    <w:rsid w:val="004D2E2A"/>
    <w:rsid w:val="004D3C61"/>
    <w:rsid w:val="004E1E22"/>
    <w:rsid w:val="00502BA7"/>
    <w:rsid w:val="0051288D"/>
    <w:rsid w:val="005162F1"/>
    <w:rsid w:val="00524E2F"/>
    <w:rsid w:val="00535153"/>
    <w:rsid w:val="00536224"/>
    <w:rsid w:val="00554F82"/>
    <w:rsid w:val="0056390D"/>
    <w:rsid w:val="005719B0"/>
    <w:rsid w:val="005A64FC"/>
    <w:rsid w:val="005B03B7"/>
    <w:rsid w:val="005D10D6"/>
    <w:rsid w:val="005D49DD"/>
    <w:rsid w:val="006146B0"/>
    <w:rsid w:val="0062003B"/>
    <w:rsid w:val="006713E5"/>
    <w:rsid w:val="00693597"/>
    <w:rsid w:val="006F1484"/>
    <w:rsid w:val="00723F4C"/>
    <w:rsid w:val="0073226C"/>
    <w:rsid w:val="00734DFA"/>
    <w:rsid w:val="00741077"/>
    <w:rsid w:val="00774FC7"/>
    <w:rsid w:val="007B4EB8"/>
    <w:rsid w:val="007D1529"/>
    <w:rsid w:val="00817F42"/>
    <w:rsid w:val="0084772A"/>
    <w:rsid w:val="00847D1B"/>
    <w:rsid w:val="00854116"/>
    <w:rsid w:val="00855E3A"/>
    <w:rsid w:val="00857832"/>
    <w:rsid w:val="00876626"/>
    <w:rsid w:val="00892FAA"/>
    <w:rsid w:val="008A2BAB"/>
    <w:rsid w:val="008B17D8"/>
    <w:rsid w:val="008D3A71"/>
    <w:rsid w:val="008E231B"/>
    <w:rsid w:val="008F28A7"/>
    <w:rsid w:val="008F7C92"/>
    <w:rsid w:val="00922CB9"/>
    <w:rsid w:val="00936E8B"/>
    <w:rsid w:val="00955D26"/>
    <w:rsid w:val="00962F90"/>
    <w:rsid w:val="00994B24"/>
    <w:rsid w:val="009B5D7E"/>
    <w:rsid w:val="009C31E6"/>
    <w:rsid w:val="009E5CD9"/>
    <w:rsid w:val="009F1302"/>
    <w:rsid w:val="009F4E7D"/>
    <w:rsid w:val="00A26421"/>
    <w:rsid w:val="00A40B0F"/>
    <w:rsid w:val="00A4293B"/>
    <w:rsid w:val="00A64271"/>
    <w:rsid w:val="00A67D50"/>
    <w:rsid w:val="00A8691A"/>
    <w:rsid w:val="00AC1946"/>
    <w:rsid w:val="00AD0FEC"/>
    <w:rsid w:val="00AD7835"/>
    <w:rsid w:val="00B40063"/>
    <w:rsid w:val="00B41F61"/>
    <w:rsid w:val="00B47A95"/>
    <w:rsid w:val="00B73497"/>
    <w:rsid w:val="00BA46E6"/>
    <w:rsid w:val="00BB200C"/>
    <w:rsid w:val="00BC5DAB"/>
    <w:rsid w:val="00C0269D"/>
    <w:rsid w:val="00C56C72"/>
    <w:rsid w:val="00C70524"/>
    <w:rsid w:val="00C772DB"/>
    <w:rsid w:val="00CA6457"/>
    <w:rsid w:val="00CE2000"/>
    <w:rsid w:val="00D17F2E"/>
    <w:rsid w:val="00D25887"/>
    <w:rsid w:val="00D30354"/>
    <w:rsid w:val="00DA042F"/>
    <w:rsid w:val="00DF42A0"/>
    <w:rsid w:val="00E072CC"/>
    <w:rsid w:val="00E136AA"/>
    <w:rsid w:val="00E25910"/>
    <w:rsid w:val="00E46995"/>
    <w:rsid w:val="00E72813"/>
    <w:rsid w:val="00E769FE"/>
    <w:rsid w:val="00EA2CBE"/>
    <w:rsid w:val="00EE1F17"/>
    <w:rsid w:val="00F32FEE"/>
    <w:rsid w:val="00F61120"/>
    <w:rsid w:val="00F7692E"/>
    <w:rsid w:val="00FB10BB"/>
    <w:rsid w:val="00FC1988"/>
    <w:rsid w:val="00FF0F40"/>
    <w:rsid w:val="01116FEC"/>
    <w:rsid w:val="04EB4934"/>
    <w:rsid w:val="06EE7D0D"/>
    <w:rsid w:val="07B06AB5"/>
    <w:rsid w:val="082F1EC2"/>
    <w:rsid w:val="09A50626"/>
    <w:rsid w:val="0BBC293C"/>
    <w:rsid w:val="1032273E"/>
    <w:rsid w:val="10763D0C"/>
    <w:rsid w:val="12747BAC"/>
    <w:rsid w:val="166879CC"/>
    <w:rsid w:val="168C3145"/>
    <w:rsid w:val="16B15AA0"/>
    <w:rsid w:val="16CD4749"/>
    <w:rsid w:val="171C5B78"/>
    <w:rsid w:val="18E77BA9"/>
    <w:rsid w:val="1BA40D39"/>
    <w:rsid w:val="1E862BCF"/>
    <w:rsid w:val="1F5853BD"/>
    <w:rsid w:val="20317511"/>
    <w:rsid w:val="229D38C1"/>
    <w:rsid w:val="264F6850"/>
    <w:rsid w:val="28C8448A"/>
    <w:rsid w:val="2A4D4F48"/>
    <w:rsid w:val="2AE45F76"/>
    <w:rsid w:val="2B9D2A91"/>
    <w:rsid w:val="2BB8257B"/>
    <w:rsid w:val="2BCC1DE9"/>
    <w:rsid w:val="2DCC62C6"/>
    <w:rsid w:val="2DDF6276"/>
    <w:rsid w:val="30BE0F9C"/>
    <w:rsid w:val="30EE20E9"/>
    <w:rsid w:val="31F23AFE"/>
    <w:rsid w:val="32B252D2"/>
    <w:rsid w:val="32E15A3A"/>
    <w:rsid w:val="356A7949"/>
    <w:rsid w:val="367A4211"/>
    <w:rsid w:val="37413820"/>
    <w:rsid w:val="37C45358"/>
    <w:rsid w:val="3BB70555"/>
    <w:rsid w:val="3BC7304C"/>
    <w:rsid w:val="3C887145"/>
    <w:rsid w:val="41155452"/>
    <w:rsid w:val="41F46496"/>
    <w:rsid w:val="449C451D"/>
    <w:rsid w:val="45626ED2"/>
    <w:rsid w:val="4650534D"/>
    <w:rsid w:val="466F183E"/>
    <w:rsid w:val="47FB44A6"/>
    <w:rsid w:val="48255E33"/>
    <w:rsid w:val="4AE1187D"/>
    <w:rsid w:val="4BDB7DA7"/>
    <w:rsid w:val="4C360DA2"/>
    <w:rsid w:val="4C5F7F78"/>
    <w:rsid w:val="4E642F34"/>
    <w:rsid w:val="53005138"/>
    <w:rsid w:val="53765D86"/>
    <w:rsid w:val="5447318A"/>
    <w:rsid w:val="558A4408"/>
    <w:rsid w:val="58D75736"/>
    <w:rsid w:val="5BD37F56"/>
    <w:rsid w:val="5C4806EE"/>
    <w:rsid w:val="5D57207E"/>
    <w:rsid w:val="608C353B"/>
    <w:rsid w:val="60AF1759"/>
    <w:rsid w:val="62BF108E"/>
    <w:rsid w:val="659A0045"/>
    <w:rsid w:val="65C07533"/>
    <w:rsid w:val="66437D33"/>
    <w:rsid w:val="66966C22"/>
    <w:rsid w:val="682A7052"/>
    <w:rsid w:val="684B0830"/>
    <w:rsid w:val="68972EF6"/>
    <w:rsid w:val="68EE19A1"/>
    <w:rsid w:val="69B91819"/>
    <w:rsid w:val="6AB95BCD"/>
    <w:rsid w:val="6C0A0ACE"/>
    <w:rsid w:val="6C74389A"/>
    <w:rsid w:val="6D747692"/>
    <w:rsid w:val="6DE13EE4"/>
    <w:rsid w:val="70B07B00"/>
    <w:rsid w:val="71214FEF"/>
    <w:rsid w:val="71631C23"/>
    <w:rsid w:val="7546593F"/>
    <w:rsid w:val="757C4A65"/>
    <w:rsid w:val="75AE4E59"/>
    <w:rsid w:val="75F6112B"/>
    <w:rsid w:val="76243622"/>
    <w:rsid w:val="77692F40"/>
    <w:rsid w:val="77716415"/>
    <w:rsid w:val="78F446DC"/>
    <w:rsid w:val="7B270171"/>
    <w:rsid w:val="7BB20CFB"/>
    <w:rsid w:val="7BDE0F75"/>
    <w:rsid w:val="7D980D38"/>
    <w:rsid w:val="7E670D9A"/>
    <w:rsid w:val="7E7631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99"/>
    <w:pPr>
      <w:keepNext/>
      <w:widowControl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2"/>
    <w:basedOn w:val="1"/>
    <w:next w:val="1"/>
    <w:link w:val="23"/>
    <w:qFormat/>
    <w:uiPriority w:val="99"/>
    <w:pPr>
      <w:keepNext/>
      <w:widowControl/>
      <w:spacing w:before="240" w:after="60"/>
      <w:jc w:val="left"/>
      <w:outlineLvl w:val="1"/>
    </w:pPr>
    <w:rPr>
      <w:rFonts w:ascii="Cambria" w:hAnsi="Cambria"/>
      <w:b/>
      <w:bCs/>
      <w:i/>
      <w:iCs/>
      <w:kern w:val="0"/>
      <w:sz w:val="28"/>
      <w:szCs w:val="28"/>
    </w:rPr>
  </w:style>
  <w:style w:type="paragraph" w:styleId="5">
    <w:name w:val="heading 3"/>
    <w:basedOn w:val="1"/>
    <w:next w:val="1"/>
    <w:link w:val="24"/>
    <w:qFormat/>
    <w:uiPriority w:val="99"/>
    <w:pPr>
      <w:keepNext/>
      <w:widowControl/>
      <w:spacing w:before="240" w:after="60"/>
      <w:jc w:val="left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6">
    <w:name w:val="heading 4"/>
    <w:basedOn w:val="1"/>
    <w:next w:val="1"/>
    <w:link w:val="25"/>
    <w:qFormat/>
    <w:uiPriority w:val="99"/>
    <w:pPr>
      <w:keepNext/>
      <w:widowControl/>
      <w:spacing w:before="240" w:after="60"/>
      <w:jc w:val="left"/>
      <w:outlineLvl w:val="3"/>
    </w:pPr>
    <w:rPr>
      <w:rFonts w:ascii="Calibri" w:hAnsi="Calibri"/>
      <w:b/>
      <w:bCs/>
      <w:kern w:val="0"/>
      <w:sz w:val="28"/>
      <w:szCs w:val="28"/>
    </w:rPr>
  </w:style>
  <w:style w:type="paragraph" w:styleId="7">
    <w:name w:val="heading 5"/>
    <w:basedOn w:val="1"/>
    <w:next w:val="1"/>
    <w:link w:val="26"/>
    <w:qFormat/>
    <w:uiPriority w:val="99"/>
    <w:pPr>
      <w:widowControl/>
      <w:spacing w:before="240" w:after="60"/>
      <w:jc w:val="left"/>
      <w:outlineLvl w:val="4"/>
    </w:pPr>
    <w:rPr>
      <w:rFonts w:ascii="Calibri" w:hAnsi="Calibri"/>
      <w:b/>
      <w:bCs/>
      <w:i/>
      <w:iCs/>
      <w:kern w:val="0"/>
      <w:sz w:val="26"/>
      <w:szCs w:val="26"/>
    </w:rPr>
  </w:style>
  <w:style w:type="paragraph" w:styleId="8">
    <w:name w:val="heading 6"/>
    <w:basedOn w:val="1"/>
    <w:next w:val="1"/>
    <w:link w:val="27"/>
    <w:qFormat/>
    <w:uiPriority w:val="99"/>
    <w:pPr>
      <w:widowControl/>
      <w:spacing w:before="240" w:after="60"/>
      <w:jc w:val="left"/>
      <w:outlineLvl w:val="5"/>
    </w:pPr>
    <w:rPr>
      <w:rFonts w:ascii="Calibri" w:hAnsi="Calibri"/>
      <w:b/>
      <w:bCs/>
      <w:kern w:val="0"/>
      <w:sz w:val="22"/>
      <w:szCs w:val="22"/>
    </w:rPr>
  </w:style>
  <w:style w:type="paragraph" w:styleId="9">
    <w:name w:val="heading 7"/>
    <w:basedOn w:val="1"/>
    <w:next w:val="1"/>
    <w:link w:val="28"/>
    <w:qFormat/>
    <w:uiPriority w:val="99"/>
    <w:pPr>
      <w:widowControl/>
      <w:spacing w:before="240" w:after="60"/>
      <w:jc w:val="left"/>
      <w:outlineLvl w:val="6"/>
    </w:pPr>
    <w:rPr>
      <w:rFonts w:ascii="Calibri" w:hAnsi="Calibri"/>
      <w:kern w:val="0"/>
      <w:sz w:val="24"/>
    </w:rPr>
  </w:style>
  <w:style w:type="paragraph" w:styleId="10">
    <w:name w:val="heading 8"/>
    <w:basedOn w:val="1"/>
    <w:next w:val="1"/>
    <w:link w:val="29"/>
    <w:qFormat/>
    <w:uiPriority w:val="99"/>
    <w:pPr>
      <w:widowControl/>
      <w:spacing w:before="240" w:after="60"/>
      <w:jc w:val="left"/>
      <w:outlineLvl w:val="7"/>
    </w:pPr>
    <w:rPr>
      <w:rFonts w:ascii="Calibri" w:hAnsi="Calibri"/>
      <w:i/>
      <w:iCs/>
      <w:kern w:val="0"/>
      <w:sz w:val="24"/>
    </w:rPr>
  </w:style>
  <w:style w:type="paragraph" w:styleId="11">
    <w:name w:val="heading 9"/>
    <w:basedOn w:val="1"/>
    <w:next w:val="1"/>
    <w:link w:val="30"/>
    <w:qFormat/>
    <w:uiPriority w:val="99"/>
    <w:pPr>
      <w:widowControl/>
      <w:spacing w:before="240" w:after="60"/>
      <w:jc w:val="left"/>
      <w:outlineLvl w:val="8"/>
    </w:pPr>
    <w:rPr>
      <w:rFonts w:ascii="Cambria" w:hAnsi="Cambria"/>
      <w:kern w:val="0"/>
      <w:sz w:val="22"/>
      <w:szCs w:val="2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31"/>
    <w:qFormat/>
    <w:uiPriority w:val="99"/>
    <w:pPr>
      <w:jc w:val="center"/>
    </w:pPr>
    <w:rPr>
      <w:rFonts w:eastAsia="方正小标宋简体"/>
      <w:b/>
      <w:bCs/>
      <w:sz w:val="44"/>
    </w:rPr>
  </w:style>
  <w:style w:type="paragraph" w:styleId="12">
    <w:name w:val="Balloon Text"/>
    <w:basedOn w:val="1"/>
    <w:link w:val="32"/>
    <w:semiHidden/>
    <w:qFormat/>
    <w:uiPriority w:val="99"/>
    <w:rPr>
      <w:sz w:val="18"/>
      <w:szCs w:val="18"/>
    </w:rPr>
  </w:style>
  <w:style w:type="paragraph" w:styleId="13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4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15">
    <w:name w:val="Subtitle"/>
    <w:basedOn w:val="1"/>
    <w:next w:val="1"/>
    <w:link w:val="35"/>
    <w:qFormat/>
    <w:uiPriority w:val="99"/>
    <w:pPr>
      <w:widowControl/>
      <w:spacing w:after="60"/>
      <w:jc w:val="center"/>
      <w:outlineLvl w:val="1"/>
    </w:pPr>
    <w:rPr>
      <w:rFonts w:ascii="Cambria" w:hAnsi="Cambria"/>
      <w:kern w:val="0"/>
      <w:sz w:val="24"/>
    </w:rPr>
  </w:style>
  <w:style w:type="paragraph" w:styleId="16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7">
    <w:name w:val="Title"/>
    <w:basedOn w:val="1"/>
    <w:next w:val="1"/>
    <w:link w:val="36"/>
    <w:qFormat/>
    <w:uiPriority w:val="99"/>
    <w:pPr>
      <w:widowControl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19">
    <w:name w:val="Strong"/>
    <w:basedOn w:val="18"/>
    <w:qFormat/>
    <w:uiPriority w:val="99"/>
    <w:rPr>
      <w:rFonts w:cs="Times New Roman"/>
      <w:b/>
      <w:bCs/>
    </w:rPr>
  </w:style>
  <w:style w:type="character" w:styleId="20">
    <w:name w:val="Emphasis"/>
    <w:basedOn w:val="18"/>
    <w:qFormat/>
    <w:uiPriority w:val="99"/>
    <w:rPr>
      <w:rFonts w:ascii="Calibri" w:hAnsi="Calibri" w:cs="Times New Roman"/>
      <w:b/>
      <w:i/>
      <w:iCs/>
    </w:rPr>
  </w:style>
  <w:style w:type="character" w:customStyle="1" w:styleId="22">
    <w:name w:val="标题 1 Char"/>
    <w:basedOn w:val="18"/>
    <w:link w:val="3"/>
    <w:qFormat/>
    <w:locked/>
    <w:uiPriority w:val="99"/>
    <w:rPr>
      <w:rFonts w:ascii="Cambria" w:hAnsi="Cambria" w:eastAsia="宋体" w:cs="Times New Roman"/>
      <w:b/>
      <w:bCs/>
      <w:kern w:val="32"/>
      <w:sz w:val="32"/>
      <w:szCs w:val="32"/>
    </w:rPr>
  </w:style>
  <w:style w:type="character" w:customStyle="1" w:styleId="23">
    <w:name w:val="标题 2 Char"/>
    <w:basedOn w:val="18"/>
    <w:link w:val="4"/>
    <w:semiHidden/>
    <w:qFormat/>
    <w:locked/>
    <w:uiPriority w:val="99"/>
    <w:rPr>
      <w:rFonts w:ascii="Cambria" w:hAnsi="Cambria" w:eastAsia="宋体" w:cs="Times New Roman"/>
      <w:b/>
      <w:bCs/>
      <w:i/>
      <w:iCs/>
      <w:sz w:val="28"/>
      <w:szCs w:val="28"/>
    </w:rPr>
  </w:style>
  <w:style w:type="character" w:customStyle="1" w:styleId="24">
    <w:name w:val="标题 3 Char"/>
    <w:basedOn w:val="18"/>
    <w:link w:val="5"/>
    <w:semiHidden/>
    <w:qFormat/>
    <w:locked/>
    <w:uiPriority w:val="99"/>
    <w:rPr>
      <w:rFonts w:ascii="Cambria" w:hAnsi="Cambria" w:eastAsia="宋体" w:cs="Times New Roman"/>
      <w:b/>
      <w:bCs/>
      <w:sz w:val="26"/>
      <w:szCs w:val="26"/>
    </w:rPr>
  </w:style>
  <w:style w:type="character" w:customStyle="1" w:styleId="25">
    <w:name w:val="标题 4 Char"/>
    <w:basedOn w:val="18"/>
    <w:link w:val="6"/>
    <w:semiHidden/>
    <w:qFormat/>
    <w:locked/>
    <w:uiPriority w:val="99"/>
    <w:rPr>
      <w:rFonts w:cs="Times New Roman"/>
      <w:b/>
      <w:bCs/>
      <w:sz w:val="28"/>
      <w:szCs w:val="28"/>
    </w:rPr>
  </w:style>
  <w:style w:type="character" w:customStyle="1" w:styleId="26">
    <w:name w:val="标题 5 Char"/>
    <w:basedOn w:val="18"/>
    <w:link w:val="7"/>
    <w:semiHidden/>
    <w:qFormat/>
    <w:locked/>
    <w:uiPriority w:val="99"/>
    <w:rPr>
      <w:rFonts w:cs="Times New Roman"/>
      <w:b/>
      <w:bCs/>
      <w:i/>
      <w:iCs/>
      <w:sz w:val="26"/>
      <w:szCs w:val="26"/>
    </w:rPr>
  </w:style>
  <w:style w:type="character" w:customStyle="1" w:styleId="27">
    <w:name w:val="标题 6 Char"/>
    <w:basedOn w:val="18"/>
    <w:link w:val="8"/>
    <w:semiHidden/>
    <w:qFormat/>
    <w:locked/>
    <w:uiPriority w:val="99"/>
    <w:rPr>
      <w:rFonts w:cs="Times New Roman"/>
      <w:b/>
      <w:bCs/>
    </w:rPr>
  </w:style>
  <w:style w:type="character" w:customStyle="1" w:styleId="28">
    <w:name w:val="标题 7 Char"/>
    <w:basedOn w:val="18"/>
    <w:link w:val="9"/>
    <w:semiHidden/>
    <w:qFormat/>
    <w:locked/>
    <w:uiPriority w:val="99"/>
    <w:rPr>
      <w:rFonts w:cs="Times New Roman"/>
      <w:sz w:val="24"/>
      <w:szCs w:val="24"/>
    </w:rPr>
  </w:style>
  <w:style w:type="character" w:customStyle="1" w:styleId="29">
    <w:name w:val="标题 8 Char"/>
    <w:basedOn w:val="18"/>
    <w:link w:val="10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30">
    <w:name w:val="标题 9 Char"/>
    <w:basedOn w:val="18"/>
    <w:link w:val="11"/>
    <w:semiHidden/>
    <w:qFormat/>
    <w:locked/>
    <w:uiPriority w:val="99"/>
    <w:rPr>
      <w:rFonts w:ascii="Cambria" w:hAnsi="Cambria" w:eastAsia="宋体" w:cs="Times New Roman"/>
    </w:rPr>
  </w:style>
  <w:style w:type="character" w:customStyle="1" w:styleId="31">
    <w:name w:val="正文文本 Char"/>
    <w:basedOn w:val="18"/>
    <w:link w:val="2"/>
    <w:semiHidden/>
    <w:qFormat/>
    <w:uiPriority w:val="99"/>
    <w:rPr>
      <w:szCs w:val="24"/>
    </w:rPr>
  </w:style>
  <w:style w:type="character" w:customStyle="1" w:styleId="32">
    <w:name w:val="批注框文本 Char"/>
    <w:basedOn w:val="18"/>
    <w:link w:val="12"/>
    <w:semiHidden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3">
    <w:name w:val="页脚 Char"/>
    <w:basedOn w:val="18"/>
    <w:link w:val="1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34">
    <w:name w:val="页眉 Char"/>
    <w:basedOn w:val="18"/>
    <w:link w:val="14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35">
    <w:name w:val="副标题 Char"/>
    <w:basedOn w:val="18"/>
    <w:link w:val="15"/>
    <w:qFormat/>
    <w:locked/>
    <w:uiPriority w:val="99"/>
    <w:rPr>
      <w:rFonts w:ascii="Cambria" w:hAnsi="Cambria" w:eastAsia="宋体" w:cs="Times New Roman"/>
      <w:sz w:val="24"/>
      <w:szCs w:val="24"/>
    </w:rPr>
  </w:style>
  <w:style w:type="character" w:customStyle="1" w:styleId="36">
    <w:name w:val="标题 Char"/>
    <w:basedOn w:val="18"/>
    <w:link w:val="17"/>
    <w:qFormat/>
    <w:locked/>
    <w:uiPriority w:val="99"/>
    <w:rPr>
      <w:rFonts w:ascii="Cambria" w:hAnsi="Cambria" w:eastAsia="宋体" w:cs="Times New Roman"/>
      <w:b/>
      <w:bCs/>
      <w:kern w:val="28"/>
      <w:sz w:val="32"/>
      <w:szCs w:val="32"/>
    </w:rPr>
  </w:style>
  <w:style w:type="paragraph" w:customStyle="1" w:styleId="37">
    <w:name w:val="无间隔1"/>
    <w:basedOn w:val="1"/>
    <w:qFormat/>
    <w:uiPriority w:val="99"/>
    <w:pPr>
      <w:widowControl/>
      <w:jc w:val="left"/>
    </w:pPr>
    <w:rPr>
      <w:rFonts w:ascii="Calibri" w:hAnsi="Calibri"/>
      <w:kern w:val="0"/>
      <w:sz w:val="24"/>
      <w:szCs w:val="32"/>
      <w:lang w:eastAsia="en-US"/>
    </w:rPr>
  </w:style>
  <w:style w:type="paragraph" w:customStyle="1" w:styleId="38">
    <w:name w:val="列出段落1"/>
    <w:basedOn w:val="1"/>
    <w:qFormat/>
    <w:uiPriority w:val="99"/>
    <w:pPr>
      <w:widowControl/>
      <w:ind w:left="720"/>
      <w:contextualSpacing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39">
    <w:name w:val="引用1"/>
    <w:basedOn w:val="1"/>
    <w:next w:val="1"/>
    <w:link w:val="40"/>
    <w:qFormat/>
    <w:uiPriority w:val="99"/>
    <w:pPr>
      <w:widowControl/>
      <w:jc w:val="left"/>
    </w:pPr>
    <w:rPr>
      <w:rFonts w:ascii="Calibri" w:hAnsi="Calibri"/>
      <w:i/>
      <w:kern w:val="0"/>
      <w:sz w:val="24"/>
    </w:rPr>
  </w:style>
  <w:style w:type="character" w:customStyle="1" w:styleId="40">
    <w:name w:val="引用 Char"/>
    <w:basedOn w:val="18"/>
    <w:link w:val="39"/>
    <w:qFormat/>
    <w:locked/>
    <w:uiPriority w:val="99"/>
    <w:rPr>
      <w:rFonts w:cs="Times New Roman"/>
      <w:i/>
      <w:sz w:val="24"/>
      <w:szCs w:val="24"/>
    </w:rPr>
  </w:style>
  <w:style w:type="paragraph" w:customStyle="1" w:styleId="41">
    <w:name w:val="明显引用1"/>
    <w:basedOn w:val="1"/>
    <w:next w:val="1"/>
    <w:link w:val="42"/>
    <w:qFormat/>
    <w:uiPriority w:val="99"/>
    <w:pPr>
      <w:widowControl/>
      <w:ind w:left="720" w:right="720"/>
      <w:jc w:val="left"/>
    </w:pPr>
    <w:rPr>
      <w:rFonts w:ascii="Calibri" w:hAnsi="Calibri"/>
      <w:b/>
      <w:i/>
      <w:kern w:val="0"/>
      <w:sz w:val="24"/>
      <w:szCs w:val="22"/>
    </w:rPr>
  </w:style>
  <w:style w:type="character" w:customStyle="1" w:styleId="42">
    <w:name w:val="明显引用 Char"/>
    <w:basedOn w:val="18"/>
    <w:link w:val="41"/>
    <w:qFormat/>
    <w:locked/>
    <w:uiPriority w:val="99"/>
    <w:rPr>
      <w:rFonts w:cs="Times New Roman"/>
      <w:b/>
      <w:i/>
      <w:sz w:val="24"/>
    </w:rPr>
  </w:style>
  <w:style w:type="character" w:customStyle="1" w:styleId="43">
    <w:name w:val="Subtle Emphasis1"/>
    <w:qFormat/>
    <w:uiPriority w:val="99"/>
    <w:rPr>
      <w:i/>
      <w:color w:val="595959"/>
    </w:rPr>
  </w:style>
  <w:style w:type="character" w:customStyle="1" w:styleId="44">
    <w:name w:val="Intense Emphasis1"/>
    <w:basedOn w:val="18"/>
    <w:qFormat/>
    <w:uiPriority w:val="99"/>
    <w:rPr>
      <w:rFonts w:cs="Times New Roman"/>
      <w:b/>
      <w:i/>
      <w:sz w:val="24"/>
      <w:szCs w:val="24"/>
      <w:u w:val="single"/>
    </w:rPr>
  </w:style>
  <w:style w:type="character" w:customStyle="1" w:styleId="45">
    <w:name w:val="Subtle Reference1"/>
    <w:basedOn w:val="18"/>
    <w:qFormat/>
    <w:uiPriority w:val="99"/>
    <w:rPr>
      <w:rFonts w:cs="Times New Roman"/>
      <w:sz w:val="24"/>
      <w:szCs w:val="24"/>
      <w:u w:val="single"/>
    </w:rPr>
  </w:style>
  <w:style w:type="character" w:customStyle="1" w:styleId="46">
    <w:name w:val="Intense Reference1"/>
    <w:basedOn w:val="18"/>
    <w:qFormat/>
    <w:uiPriority w:val="99"/>
    <w:rPr>
      <w:rFonts w:cs="Times New Roman"/>
      <w:b/>
      <w:sz w:val="24"/>
      <w:u w:val="single"/>
    </w:rPr>
  </w:style>
  <w:style w:type="character" w:customStyle="1" w:styleId="47">
    <w:name w:val="Book Title1"/>
    <w:basedOn w:val="18"/>
    <w:qFormat/>
    <w:uiPriority w:val="99"/>
    <w:rPr>
      <w:rFonts w:ascii="Cambria" w:hAnsi="Cambria" w:eastAsia="宋体" w:cs="Times New Roman"/>
      <w:b/>
      <w:i/>
      <w:sz w:val="24"/>
      <w:szCs w:val="24"/>
    </w:rPr>
  </w:style>
  <w:style w:type="paragraph" w:customStyle="1" w:styleId="48">
    <w:name w:val="TOC Heading1"/>
    <w:basedOn w:val="3"/>
    <w:next w:val="1"/>
    <w:semiHidden/>
    <w:qFormat/>
    <w:uiPriority w:val="99"/>
    <w:pPr>
      <w:outlineLvl w:val="9"/>
    </w:pPr>
    <w:rPr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19</Pages>
  <Words>9519</Words>
  <Characters>2142</Characters>
  <Lines>17</Lines>
  <Paragraphs>23</Paragraphs>
  <TotalTime>12</TotalTime>
  <ScaleCrop>false</ScaleCrop>
  <LinksUpToDate>false</LinksUpToDate>
  <CharactersWithSpaces>11638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2018-08-15T02:06:00Z</dcterms:created>
  <dc:creator>赵 恺（预算处）</dc:creator>
  <cp:lastModifiedBy>Administrator</cp:lastModifiedBy>
  <cp:lastPrinted>2022-02-11T10:15:00Z</cp:lastPrinted>
  <dcterms:modified xsi:type="dcterms:W3CDTF">2022-03-30T11:18:23Z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