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40" w:lineRule="exact"/>
        <w:ind w:firstLine="875" w:firstLineChars="200"/>
        <w:jc w:val="center"/>
        <w:textAlignment w:val="bottom"/>
        <w:rPr>
          <w:rFonts w:hint="eastAsia" w:ascii="黑体" w:hAnsi="黑体" w:eastAsia="黑体"/>
          <w:b/>
          <w:spacing w:val="-2"/>
          <w:kern w:val="10"/>
          <w:position w:val="-2"/>
          <w:sz w:val="44"/>
          <w:szCs w:val="44"/>
          <w:lang w:eastAsia="zh-CN"/>
        </w:rPr>
      </w:pPr>
      <w:r>
        <w:rPr>
          <w:rFonts w:hint="eastAsia" w:ascii="黑体" w:hAnsi="黑体" w:eastAsia="黑体"/>
          <w:b/>
          <w:spacing w:val="-2"/>
          <w:kern w:val="10"/>
          <w:position w:val="-2"/>
          <w:sz w:val="44"/>
          <w:szCs w:val="44"/>
        </w:rPr>
        <w:t>关于202</w:t>
      </w:r>
      <w:r>
        <w:rPr>
          <w:rFonts w:hint="eastAsia" w:ascii="黑体" w:hAnsi="黑体" w:eastAsia="黑体"/>
          <w:b/>
          <w:spacing w:val="-2"/>
          <w:kern w:val="10"/>
          <w:position w:val="-2"/>
          <w:sz w:val="44"/>
          <w:szCs w:val="44"/>
          <w:lang w:val="en-US" w:eastAsia="zh-CN"/>
        </w:rPr>
        <w:t>1</w:t>
      </w:r>
      <w:r>
        <w:rPr>
          <w:rFonts w:hint="eastAsia" w:ascii="黑体" w:hAnsi="黑体" w:eastAsia="黑体"/>
          <w:b/>
          <w:spacing w:val="-2"/>
          <w:kern w:val="10"/>
          <w:position w:val="-2"/>
          <w:sz w:val="44"/>
          <w:szCs w:val="44"/>
        </w:rPr>
        <w:t>年</w:t>
      </w:r>
      <w:r>
        <w:rPr>
          <w:rFonts w:hint="eastAsia" w:ascii="黑体" w:hAnsi="黑体" w:eastAsia="黑体"/>
          <w:b/>
          <w:spacing w:val="-2"/>
          <w:kern w:val="10"/>
          <w:position w:val="-2"/>
          <w:sz w:val="44"/>
          <w:szCs w:val="44"/>
          <w:lang w:eastAsia="zh-CN"/>
        </w:rPr>
        <w:t>度泽普县</w:t>
      </w:r>
      <w:r>
        <w:rPr>
          <w:rFonts w:hint="eastAsia" w:ascii="黑体" w:hAnsi="黑体" w:eastAsia="黑体"/>
          <w:b/>
          <w:spacing w:val="-2"/>
          <w:kern w:val="10"/>
          <w:position w:val="-2"/>
          <w:sz w:val="44"/>
          <w:szCs w:val="44"/>
        </w:rPr>
        <w:t>财政决算</w:t>
      </w:r>
      <w:r>
        <w:rPr>
          <w:rFonts w:hint="eastAsia" w:ascii="黑体" w:hAnsi="黑体" w:eastAsia="黑体"/>
          <w:b/>
          <w:spacing w:val="-2"/>
          <w:kern w:val="10"/>
          <w:position w:val="-2"/>
          <w:sz w:val="44"/>
          <w:szCs w:val="44"/>
          <w:lang w:eastAsia="zh-CN"/>
        </w:rPr>
        <w:t>（草案）</w:t>
      </w:r>
    </w:p>
    <w:p>
      <w:pPr>
        <w:adjustRightInd w:val="0"/>
        <w:snapToGrid w:val="0"/>
        <w:spacing w:line="640" w:lineRule="exact"/>
        <w:ind w:firstLine="875" w:firstLineChars="200"/>
        <w:jc w:val="center"/>
        <w:textAlignment w:val="bottom"/>
        <w:rPr>
          <w:rFonts w:hint="eastAsia" w:ascii="黑体" w:hAnsi="黑体" w:eastAsia="黑体"/>
          <w:b/>
          <w:spacing w:val="-2"/>
          <w:kern w:val="10"/>
          <w:position w:val="-2"/>
          <w:sz w:val="44"/>
          <w:szCs w:val="44"/>
        </w:rPr>
      </w:pPr>
      <w:r>
        <w:rPr>
          <w:rFonts w:hint="eastAsia" w:ascii="黑体" w:hAnsi="黑体" w:eastAsia="黑体"/>
          <w:b/>
          <w:spacing w:val="-2"/>
          <w:kern w:val="10"/>
          <w:position w:val="-2"/>
          <w:sz w:val="44"/>
          <w:szCs w:val="44"/>
        </w:rPr>
        <w:t>的报告</w:t>
      </w:r>
    </w:p>
    <w:p>
      <w:pPr>
        <w:pStyle w:val="2"/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spacing w:line="600" w:lineRule="exact"/>
        <w:jc w:val="center"/>
        <w:rPr>
          <w:rFonts w:hint="eastAsia" w:ascii="楷体" w:hAnsi="楷体" w:eastAsia="楷体" w:cs="楷体"/>
          <w:b/>
          <w:spacing w:val="-2"/>
          <w:kern w:val="10"/>
          <w:position w:val="-2"/>
          <w:sz w:val="30"/>
          <w:szCs w:val="30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kern w:val="0"/>
          <w:sz w:val="30"/>
          <w:szCs w:val="30"/>
          <w:lang w:val="en-US" w:eastAsia="zh-CN"/>
        </w:rPr>
        <w:t>(</w:t>
      </w:r>
      <w:r>
        <w:rPr>
          <w:rFonts w:hint="eastAsia" w:ascii="楷体_GB2312" w:hAnsi="楷体_GB2312" w:eastAsia="楷体_GB2312" w:cs="楷体_GB2312"/>
          <w:b/>
          <w:kern w:val="0"/>
          <w:sz w:val="30"/>
          <w:szCs w:val="30"/>
        </w:rPr>
        <w:t>202</w:t>
      </w:r>
      <w:r>
        <w:rPr>
          <w:rFonts w:hint="eastAsia" w:ascii="楷体_GB2312" w:hAnsi="楷体_GB2312" w:eastAsia="楷体_GB2312" w:cs="楷体_GB2312"/>
          <w:b/>
          <w:kern w:val="0"/>
          <w:sz w:val="30"/>
          <w:szCs w:val="30"/>
          <w:lang w:val="en-US" w:eastAsia="zh-CN"/>
        </w:rPr>
        <w:t>2</w:t>
      </w:r>
      <w:r>
        <w:rPr>
          <w:rFonts w:hint="eastAsia" w:ascii="楷体_GB2312" w:hAnsi="楷体_GB2312" w:eastAsia="楷体_GB2312" w:cs="楷体_GB2312"/>
          <w:b/>
          <w:kern w:val="0"/>
          <w:sz w:val="30"/>
          <w:szCs w:val="30"/>
        </w:rPr>
        <w:t>年</w:t>
      </w:r>
      <w:r>
        <w:rPr>
          <w:rFonts w:hint="eastAsia" w:ascii="楷体_GB2312" w:hAnsi="楷体_GB2312" w:eastAsia="楷体_GB2312" w:cs="楷体_GB2312"/>
          <w:b/>
          <w:kern w:val="0"/>
          <w:sz w:val="30"/>
          <w:szCs w:val="30"/>
          <w:lang w:val="en-US" w:eastAsia="zh-CN"/>
        </w:rPr>
        <w:t>9</w:t>
      </w:r>
      <w:r>
        <w:rPr>
          <w:rFonts w:hint="eastAsia" w:ascii="楷体_GB2312" w:hAnsi="楷体_GB2312" w:eastAsia="楷体_GB2312" w:cs="楷体_GB2312"/>
          <w:b/>
          <w:kern w:val="0"/>
          <w:sz w:val="30"/>
          <w:szCs w:val="30"/>
        </w:rPr>
        <w:t>月在第十</w:t>
      </w:r>
      <w:r>
        <w:rPr>
          <w:rFonts w:hint="eastAsia" w:ascii="楷体_GB2312" w:hAnsi="楷体_GB2312" w:eastAsia="楷体_GB2312" w:cs="楷体_GB2312"/>
          <w:b/>
          <w:kern w:val="0"/>
          <w:sz w:val="30"/>
          <w:szCs w:val="30"/>
          <w:lang w:eastAsia="zh-CN"/>
        </w:rPr>
        <w:t>七</w:t>
      </w:r>
      <w:r>
        <w:rPr>
          <w:rFonts w:hint="eastAsia" w:ascii="楷体_GB2312" w:hAnsi="楷体_GB2312" w:eastAsia="楷体_GB2312" w:cs="楷体_GB2312"/>
          <w:b/>
          <w:kern w:val="0"/>
          <w:sz w:val="30"/>
          <w:szCs w:val="30"/>
        </w:rPr>
        <w:t>届人大常委会第</w:t>
      </w:r>
      <w:r>
        <w:rPr>
          <w:rFonts w:hint="eastAsia" w:ascii="楷体_GB2312" w:hAnsi="楷体_GB2312" w:eastAsia="楷体_GB2312" w:cs="楷体_GB2312"/>
          <w:b/>
          <w:kern w:val="0"/>
          <w:sz w:val="30"/>
          <w:szCs w:val="30"/>
          <w:lang w:eastAsia="zh-CN"/>
        </w:rPr>
        <w:t>七</w:t>
      </w:r>
      <w:r>
        <w:rPr>
          <w:rFonts w:hint="eastAsia" w:ascii="楷体_GB2312" w:hAnsi="楷体_GB2312" w:eastAsia="楷体_GB2312" w:cs="楷体_GB2312"/>
          <w:b/>
          <w:kern w:val="0"/>
          <w:sz w:val="30"/>
          <w:szCs w:val="30"/>
        </w:rPr>
        <w:t>次会议上</w:t>
      </w:r>
      <w:r>
        <w:rPr>
          <w:rFonts w:hint="eastAsia" w:ascii="楷体_GB2312" w:hAnsi="楷体_GB2312" w:eastAsia="楷体_GB2312" w:cs="楷体_GB2312"/>
          <w:b/>
          <w:kern w:val="0"/>
          <w:sz w:val="30"/>
          <w:szCs w:val="30"/>
          <w:lang w:val="en-US" w:eastAsia="zh-CN"/>
        </w:rPr>
        <w:t>)</w:t>
      </w:r>
    </w:p>
    <w:p>
      <w:pPr>
        <w:adjustRightInd w:val="0"/>
        <w:snapToGrid w:val="0"/>
        <w:spacing w:line="640" w:lineRule="exact"/>
        <w:ind w:firstLine="594" w:firstLineChars="200"/>
        <w:jc w:val="center"/>
        <w:textAlignment w:val="bottom"/>
        <w:rPr>
          <w:rFonts w:hint="eastAsia" w:ascii="楷体" w:hAnsi="楷体" w:eastAsia="楷体" w:cs="楷体"/>
          <w:b/>
          <w:spacing w:val="-2"/>
          <w:kern w:val="10"/>
          <w:position w:val="-2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b/>
          <w:spacing w:val="-2"/>
          <w:kern w:val="10"/>
          <w:position w:val="-2"/>
          <w:sz w:val="30"/>
          <w:szCs w:val="30"/>
          <w:lang w:val="en-US" w:eastAsia="zh-CN"/>
        </w:rPr>
        <w:t>泽普县财政局局长徐丽</w:t>
      </w:r>
    </w:p>
    <w:p>
      <w:pPr>
        <w:pStyle w:val="2"/>
        <w:rPr>
          <w:rFonts w:hint="eastAsia"/>
          <w:lang w:val="en-US" w:eastAsia="zh-CN"/>
        </w:rPr>
      </w:pPr>
    </w:p>
    <w:p>
      <w:pPr>
        <w:adjustRightInd w:val="0"/>
        <w:snapToGrid w:val="0"/>
        <w:spacing w:line="640" w:lineRule="exact"/>
        <w:jc w:val="left"/>
        <w:textAlignment w:val="bottom"/>
        <w:rPr>
          <w:rFonts w:hint="eastAsia" w:ascii="楷体" w:hAnsi="楷体" w:eastAsia="楷体" w:cs="楷体"/>
          <w:b/>
          <w:spacing w:val="-2"/>
          <w:kern w:val="10"/>
          <w:position w:val="-2"/>
          <w:sz w:val="36"/>
          <w:szCs w:val="36"/>
          <w:lang w:eastAsia="zh-CN"/>
        </w:rPr>
      </w:pPr>
      <w:r>
        <w:rPr>
          <w:rFonts w:hint="eastAsia" w:ascii="楷体" w:hAnsi="楷体" w:eastAsia="楷体" w:cs="楷体"/>
          <w:b/>
          <w:spacing w:val="-2"/>
          <w:kern w:val="10"/>
          <w:position w:val="-2"/>
          <w:sz w:val="36"/>
          <w:szCs w:val="36"/>
          <w:lang w:eastAsia="zh-CN"/>
        </w:rPr>
        <w:t>主任、副主任、各位委员: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spacing w:line="60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根据《中华人民共和国预算法》规定，我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受县人民政府委托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，向泽普县第十七届人大常委会第七次会议报告2021年度财政决算（草案）报告，请予审议。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spacing w:line="60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年，我们在以习近平同志为核心的党中央坚强领导下，在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sz w:val="32"/>
          <w:szCs w:val="32"/>
        </w:rPr>
        <w:t>委和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sz w:val="32"/>
          <w:szCs w:val="32"/>
        </w:rPr>
        <w:t>人大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及</w:t>
      </w:r>
      <w:r>
        <w:rPr>
          <w:rFonts w:hint="eastAsia" w:ascii="仿宋_GB2312" w:hAnsi="仿宋_GB2312" w:eastAsia="仿宋_GB2312" w:cs="仿宋_GB2312"/>
          <w:sz w:val="32"/>
          <w:szCs w:val="32"/>
        </w:rPr>
        <w:t>其常委会的监督与支持下，坚持以习近平新时代中国特色社会主义思想为指导，全面贯彻党的十九大和十九届二中、三中、四中、五中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、六中</w:t>
      </w:r>
      <w:r>
        <w:rPr>
          <w:rFonts w:hint="eastAsia" w:ascii="仿宋_GB2312" w:hAnsi="仿宋_GB2312" w:eastAsia="仿宋_GB2312" w:cs="仿宋_GB2312"/>
          <w:sz w:val="32"/>
          <w:szCs w:val="32"/>
        </w:rPr>
        <w:t>全会精神，落实好财政主体责任，合理安排好财政支出，认真贯彻落实积极的财政政策，坚持稳重求进工作总基调，持续推进预算改革，提升财政治理能力，全方位抓好开源节流、增收节支工作，扎实做好“六稳”工作、落实“六保”任务，有效促进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sz w:val="32"/>
          <w:szCs w:val="32"/>
        </w:rPr>
        <w:t>经济社会平稳健康发展。</w:t>
      </w:r>
    </w:p>
    <w:p>
      <w:pPr>
        <w:pStyle w:val="2"/>
        <w:rPr>
          <w:rFonts w:hint="eastAsia"/>
          <w:lang w:val="en-US" w:eastAsia="zh-CN"/>
        </w:rPr>
      </w:pPr>
    </w:p>
    <w:p>
      <w:pPr>
        <w:adjustRightInd w:val="0"/>
        <w:snapToGrid w:val="0"/>
        <w:spacing w:line="640" w:lineRule="exact"/>
        <w:ind w:firstLine="715" w:firstLineChars="200"/>
        <w:jc w:val="left"/>
        <w:textAlignment w:val="bottom"/>
        <w:rPr>
          <w:rFonts w:ascii="楷体" w:hAnsi="楷体" w:eastAsia="楷体" w:cs="楷体"/>
          <w:b/>
          <w:spacing w:val="-2"/>
          <w:kern w:val="10"/>
          <w:position w:val="-2"/>
          <w:sz w:val="36"/>
          <w:szCs w:val="36"/>
        </w:rPr>
      </w:pPr>
      <w:r>
        <w:rPr>
          <w:rFonts w:hint="eastAsia" w:ascii="楷体" w:hAnsi="楷体" w:eastAsia="楷体" w:cs="楷体"/>
          <w:b/>
          <w:spacing w:val="-2"/>
          <w:kern w:val="10"/>
          <w:position w:val="-2"/>
          <w:sz w:val="36"/>
          <w:szCs w:val="36"/>
        </w:rPr>
        <w:t>一、202</w:t>
      </w:r>
      <w:r>
        <w:rPr>
          <w:rFonts w:hint="eastAsia" w:ascii="楷体" w:hAnsi="楷体" w:eastAsia="楷体" w:cs="楷体"/>
          <w:b/>
          <w:spacing w:val="-2"/>
          <w:kern w:val="10"/>
          <w:position w:val="-2"/>
          <w:sz w:val="36"/>
          <w:szCs w:val="36"/>
          <w:lang w:val="en-US" w:eastAsia="zh-CN"/>
        </w:rPr>
        <w:t>1</w:t>
      </w:r>
      <w:r>
        <w:rPr>
          <w:rFonts w:hint="eastAsia" w:ascii="楷体" w:hAnsi="楷体" w:eastAsia="楷体" w:cs="楷体"/>
          <w:b/>
          <w:spacing w:val="-2"/>
          <w:kern w:val="10"/>
          <w:position w:val="-2"/>
          <w:sz w:val="36"/>
          <w:szCs w:val="36"/>
        </w:rPr>
        <w:t>年财政预算执行情况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firstLine="635" w:firstLineChars="200"/>
        <w:jc w:val="left"/>
        <w:textAlignment w:val="bottom"/>
        <w:rPr>
          <w:rFonts w:ascii="仿宋" w:hAnsi="仿宋" w:eastAsia="仿宋" w:cs="仿宋_GB2312"/>
          <w:spacing w:val="-2"/>
          <w:kern w:val="10"/>
          <w:position w:val="-2"/>
          <w:sz w:val="32"/>
          <w:szCs w:val="32"/>
        </w:rPr>
      </w:pPr>
      <w:r>
        <w:rPr>
          <w:rFonts w:hint="eastAsia" w:ascii="仿宋" w:hAnsi="仿宋" w:eastAsia="仿宋" w:cs="仿宋_GB2312"/>
          <w:b/>
          <w:bCs/>
          <w:spacing w:val="-2"/>
          <w:kern w:val="10"/>
          <w:position w:val="-2"/>
          <w:sz w:val="32"/>
          <w:szCs w:val="32"/>
        </w:rPr>
        <w:t>一般公共预算</w:t>
      </w:r>
      <w:r>
        <w:rPr>
          <w:rFonts w:hint="eastAsia" w:ascii="仿宋" w:hAnsi="仿宋" w:eastAsia="仿宋" w:cs="仿宋_GB2312"/>
          <w:b/>
          <w:bCs/>
          <w:spacing w:val="-2"/>
          <w:kern w:val="10"/>
          <w:position w:val="-2"/>
          <w:sz w:val="32"/>
          <w:szCs w:val="32"/>
          <w:lang w:eastAsia="zh-CN"/>
        </w:rPr>
        <w:t>执行</w:t>
      </w:r>
      <w:r>
        <w:rPr>
          <w:rFonts w:hint="eastAsia" w:ascii="仿宋" w:hAnsi="仿宋" w:eastAsia="仿宋" w:cs="仿宋_GB2312"/>
          <w:b/>
          <w:bCs/>
          <w:spacing w:val="-2"/>
          <w:kern w:val="10"/>
          <w:position w:val="-2"/>
          <w:sz w:val="32"/>
          <w:szCs w:val="32"/>
        </w:rPr>
        <w:t>情况</w:t>
      </w:r>
    </w:p>
    <w:p>
      <w:pPr>
        <w:spacing w:line="600" w:lineRule="exact"/>
        <w:ind w:firstLine="643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b/>
          <w:color w:val="000000"/>
          <w:sz w:val="32"/>
          <w:szCs w:val="32"/>
        </w:rPr>
        <w:t>收入情况：</w:t>
      </w:r>
      <w:r>
        <w:rPr>
          <w:rFonts w:hint="eastAsia" w:ascii="仿宋" w:hAnsi="仿宋" w:eastAsia="仿宋"/>
          <w:bCs/>
          <w:color w:val="000000"/>
          <w:sz w:val="32"/>
          <w:szCs w:val="32"/>
        </w:rPr>
        <w:t>202</w:t>
      </w:r>
      <w:r>
        <w:rPr>
          <w:rFonts w:hint="eastAsia" w:ascii="仿宋" w:hAnsi="仿宋" w:eastAsia="仿宋"/>
          <w:bCs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bCs/>
          <w:color w:val="000000"/>
          <w:sz w:val="32"/>
          <w:szCs w:val="32"/>
        </w:rPr>
        <w:t>年</w:t>
      </w:r>
      <w:r>
        <w:rPr>
          <w:rFonts w:hint="eastAsia" w:ascii="仿宋" w:hAnsi="仿宋" w:eastAsia="仿宋"/>
          <w:bCs/>
          <w:color w:val="000000"/>
          <w:sz w:val="32"/>
          <w:szCs w:val="32"/>
          <w:lang w:eastAsia="zh-CN"/>
        </w:rPr>
        <w:t>一般公共预算总收入</w:t>
      </w:r>
      <w:r>
        <w:rPr>
          <w:rFonts w:hint="eastAsia" w:ascii="仿宋" w:hAnsi="仿宋" w:eastAsia="仿宋"/>
          <w:bCs/>
          <w:color w:val="000000"/>
          <w:sz w:val="32"/>
          <w:szCs w:val="32"/>
          <w:lang w:val="en-US" w:eastAsia="zh-CN"/>
        </w:rPr>
        <w:t>321451万元，其中：</w:t>
      </w:r>
      <w:r>
        <w:rPr>
          <w:rFonts w:hint="eastAsia" w:ascii="仿宋" w:hAnsi="仿宋" w:eastAsia="仿宋"/>
          <w:bCs/>
          <w:color w:val="000000"/>
          <w:sz w:val="32"/>
          <w:szCs w:val="32"/>
        </w:rPr>
        <w:t>一般</w:t>
      </w:r>
      <w:r>
        <w:rPr>
          <w:rFonts w:hint="eastAsia" w:ascii="仿宋_GB2312" w:eastAsia="仿宋_GB2312"/>
          <w:sz w:val="32"/>
          <w:szCs w:val="32"/>
        </w:rPr>
        <w:t>公共预算</w:t>
      </w:r>
      <w:r>
        <w:rPr>
          <w:rFonts w:hint="eastAsia" w:ascii="仿宋" w:hAnsi="仿宋" w:eastAsia="仿宋"/>
          <w:color w:val="000000"/>
          <w:sz w:val="32"/>
          <w:szCs w:val="32"/>
        </w:rPr>
        <w:t>收入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23236</w:t>
      </w:r>
      <w:r>
        <w:rPr>
          <w:rFonts w:hint="eastAsia" w:ascii="仿宋" w:hAnsi="仿宋" w:eastAsia="仿宋"/>
          <w:color w:val="000000"/>
          <w:sz w:val="32"/>
          <w:szCs w:val="32"/>
        </w:rPr>
        <w:t>万元,</w:t>
      </w:r>
      <w:r>
        <w:rPr>
          <w:rFonts w:hint="eastAsia" w:ascii="仿宋" w:hAnsi="仿宋" w:eastAsia="仿宋"/>
          <w:snapToGrid w:val="0"/>
          <w:sz w:val="30"/>
          <w:szCs w:val="30"/>
          <w:lang w:eastAsia="zh-CN"/>
        </w:rPr>
        <w:t>（其中：税收收入</w:t>
      </w:r>
      <w:r>
        <w:rPr>
          <w:rFonts w:hint="eastAsia" w:ascii="仿宋" w:hAnsi="仿宋" w:eastAsia="仿宋"/>
          <w:snapToGrid w:val="0"/>
          <w:sz w:val="30"/>
          <w:szCs w:val="30"/>
          <w:lang w:val="en-US" w:eastAsia="zh-CN"/>
        </w:rPr>
        <w:t>16529万元，非税收入6707万元</w:t>
      </w:r>
      <w:r>
        <w:rPr>
          <w:rFonts w:hint="eastAsia" w:ascii="仿宋" w:hAnsi="仿宋" w:eastAsia="仿宋"/>
          <w:snapToGrid w:val="0"/>
          <w:sz w:val="30"/>
          <w:szCs w:val="30"/>
          <w:lang w:eastAsia="zh-CN"/>
        </w:rPr>
        <w:t>）</w:t>
      </w:r>
      <w:r>
        <w:rPr>
          <w:rFonts w:hint="eastAsia" w:ascii="仿宋" w:hAnsi="仿宋" w:eastAsia="仿宋"/>
          <w:color w:val="000000"/>
          <w:sz w:val="32"/>
          <w:szCs w:val="32"/>
        </w:rPr>
        <w:t>；上级补助收入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251771</w:t>
      </w:r>
      <w:r>
        <w:rPr>
          <w:rFonts w:hint="eastAsia" w:ascii="仿宋" w:hAnsi="仿宋" w:eastAsia="仿宋"/>
          <w:color w:val="000000"/>
          <w:sz w:val="32"/>
          <w:szCs w:val="32"/>
        </w:rPr>
        <w:t>万元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（其中：返还性收入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1539万元，一般性转移支付收入211710万元，专项转移支付收入38522万元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color w:val="000000"/>
          <w:sz w:val="32"/>
          <w:szCs w:val="32"/>
        </w:rPr>
        <w:t>；债务转贷收入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19505</w:t>
      </w:r>
      <w:r>
        <w:rPr>
          <w:rFonts w:hint="eastAsia" w:ascii="仿宋" w:hAnsi="仿宋" w:eastAsia="仿宋"/>
          <w:color w:val="000000"/>
          <w:sz w:val="32"/>
          <w:szCs w:val="32"/>
        </w:rPr>
        <w:t>万元；调入资金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13532</w:t>
      </w:r>
      <w:r>
        <w:rPr>
          <w:rFonts w:hint="eastAsia" w:ascii="仿宋" w:hAnsi="仿宋" w:eastAsia="仿宋"/>
          <w:color w:val="000000"/>
          <w:sz w:val="32"/>
          <w:szCs w:val="32"/>
        </w:rPr>
        <w:t>万元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动用稳定调节基金24万元，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上年结余结转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13383万元</w:t>
      </w:r>
      <w:r>
        <w:rPr>
          <w:rFonts w:hint="eastAsia" w:ascii="仿宋" w:hAnsi="仿宋" w:eastAsia="仿宋"/>
          <w:color w:val="000000"/>
          <w:sz w:val="32"/>
          <w:szCs w:val="32"/>
        </w:rPr>
        <w:t>。</w:t>
      </w:r>
    </w:p>
    <w:p>
      <w:pPr>
        <w:spacing w:beforeLines="50" w:afterLines="50" w:line="600" w:lineRule="exact"/>
        <w:ind w:firstLine="643" w:firstLineChars="200"/>
        <w:rPr>
          <w:rFonts w:ascii="仿宋" w:hAnsi="仿宋" w:eastAsia="仿宋"/>
          <w:color w:val="000000"/>
          <w:sz w:val="30"/>
          <w:szCs w:val="30"/>
        </w:rPr>
      </w:pPr>
      <w:r>
        <w:rPr>
          <w:rFonts w:hint="eastAsia" w:ascii="仿宋" w:hAnsi="仿宋" w:eastAsia="仿宋"/>
          <w:b/>
          <w:color w:val="000000"/>
          <w:sz w:val="32"/>
          <w:szCs w:val="32"/>
        </w:rPr>
        <w:t>2.支出情况</w:t>
      </w:r>
      <w:r>
        <w:rPr>
          <w:rFonts w:hint="eastAsia" w:ascii="仿宋" w:hAnsi="仿宋" w:eastAsia="仿宋"/>
          <w:color w:val="000000"/>
          <w:sz w:val="32"/>
          <w:szCs w:val="32"/>
        </w:rPr>
        <w:t>：202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color w:val="000000"/>
          <w:sz w:val="32"/>
          <w:szCs w:val="32"/>
        </w:rPr>
        <w:t>年</w:t>
      </w:r>
      <w:r>
        <w:rPr>
          <w:rFonts w:hint="eastAsia" w:ascii="仿宋" w:hAnsi="仿宋" w:eastAsia="仿宋"/>
          <w:bCs/>
          <w:color w:val="000000"/>
          <w:sz w:val="32"/>
          <w:szCs w:val="32"/>
        </w:rPr>
        <w:t>一般</w:t>
      </w:r>
      <w:r>
        <w:rPr>
          <w:rFonts w:hint="eastAsia" w:ascii="仿宋_GB2312" w:eastAsia="仿宋_GB2312"/>
          <w:sz w:val="32"/>
          <w:szCs w:val="32"/>
        </w:rPr>
        <w:t>公共</w:t>
      </w:r>
      <w:r>
        <w:rPr>
          <w:rFonts w:hint="eastAsia" w:ascii="仿宋_GB2312" w:eastAsia="仿宋_GB2312"/>
          <w:sz w:val="32"/>
          <w:szCs w:val="32"/>
          <w:lang w:eastAsia="zh-CN"/>
        </w:rPr>
        <w:t>预算</w:t>
      </w:r>
      <w:r>
        <w:rPr>
          <w:rFonts w:hint="eastAsia" w:ascii="仿宋_GB2312" w:eastAsia="仿宋_GB2312"/>
          <w:sz w:val="32"/>
          <w:szCs w:val="32"/>
        </w:rPr>
        <w:t>总</w:t>
      </w:r>
      <w:r>
        <w:rPr>
          <w:rFonts w:hint="eastAsia" w:ascii="仿宋" w:hAnsi="仿宋" w:eastAsia="仿宋"/>
          <w:color w:val="000000"/>
          <w:sz w:val="32"/>
          <w:szCs w:val="32"/>
        </w:rPr>
        <w:t>支出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308182</w:t>
      </w:r>
      <w:r>
        <w:rPr>
          <w:rFonts w:hint="eastAsia" w:ascii="仿宋" w:hAnsi="仿宋" w:eastAsia="仿宋"/>
          <w:color w:val="000000"/>
          <w:sz w:val="32"/>
          <w:szCs w:val="32"/>
        </w:rPr>
        <w:t>万元，其中：一般公共预算支出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300635</w:t>
      </w:r>
      <w:r>
        <w:rPr>
          <w:rFonts w:hint="eastAsia" w:ascii="仿宋" w:hAnsi="仿宋" w:eastAsia="仿宋"/>
          <w:color w:val="000000"/>
          <w:sz w:val="32"/>
          <w:szCs w:val="32"/>
        </w:rPr>
        <w:t>万元，比上年同</w:t>
      </w:r>
      <w:r>
        <w:rPr>
          <w:rFonts w:hint="eastAsia" w:ascii="仿宋" w:hAnsi="仿宋" w:eastAsia="仿宋"/>
          <w:sz w:val="30"/>
          <w:szCs w:val="30"/>
        </w:rPr>
        <w:t>期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285935</w:t>
      </w:r>
      <w:r>
        <w:rPr>
          <w:rFonts w:hint="eastAsia" w:ascii="仿宋" w:hAnsi="仿宋" w:eastAsia="仿宋"/>
          <w:sz w:val="30"/>
          <w:szCs w:val="30"/>
        </w:rPr>
        <w:t>万元增加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14700</w:t>
      </w:r>
      <w:r>
        <w:rPr>
          <w:rFonts w:hint="eastAsia" w:ascii="仿宋" w:hAnsi="仿宋" w:eastAsia="仿宋"/>
          <w:sz w:val="30"/>
          <w:szCs w:val="30"/>
        </w:rPr>
        <w:t>万元，增长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5.14</w:t>
      </w:r>
      <w:r>
        <w:rPr>
          <w:rFonts w:hint="eastAsia" w:ascii="仿宋" w:hAnsi="仿宋" w:eastAsia="仿宋"/>
          <w:sz w:val="30"/>
          <w:szCs w:val="30"/>
        </w:rPr>
        <w:t>%</w:t>
      </w:r>
      <w:r>
        <w:rPr>
          <w:rFonts w:hint="eastAsia" w:ascii="仿宋" w:hAnsi="仿宋" w:eastAsia="仿宋"/>
          <w:color w:val="000000"/>
          <w:sz w:val="32"/>
          <w:szCs w:val="32"/>
        </w:rPr>
        <w:t>；上解支出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1665</w:t>
      </w:r>
      <w:r>
        <w:rPr>
          <w:rFonts w:hint="eastAsia" w:ascii="仿宋" w:hAnsi="仿宋" w:eastAsia="仿宋"/>
          <w:color w:val="000000"/>
          <w:sz w:val="32"/>
          <w:szCs w:val="32"/>
        </w:rPr>
        <w:t>万元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color w:val="000000"/>
          <w:sz w:val="32"/>
          <w:szCs w:val="32"/>
        </w:rPr>
        <w:t>地方政府债务还本支出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5882</w:t>
      </w:r>
      <w:r>
        <w:rPr>
          <w:rFonts w:hint="eastAsia" w:ascii="仿宋" w:hAnsi="仿宋" w:eastAsia="仿宋"/>
          <w:color w:val="000000"/>
          <w:sz w:val="32"/>
          <w:szCs w:val="32"/>
        </w:rPr>
        <w:t>万元。</w:t>
      </w:r>
    </w:p>
    <w:p>
      <w:pPr>
        <w:pStyle w:val="2"/>
        <w:adjustRightInd w:val="0"/>
        <w:snapToGrid w:val="0"/>
        <w:spacing w:line="640" w:lineRule="exact"/>
        <w:ind w:firstLine="643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000000"/>
          <w:sz w:val="32"/>
          <w:szCs w:val="32"/>
        </w:rPr>
        <w:t>3.</w:t>
      </w:r>
      <w:r>
        <w:rPr>
          <w:rFonts w:hint="eastAsia" w:ascii="仿宋_GB2312" w:eastAsia="仿宋_GB2312"/>
          <w:b/>
          <w:sz w:val="32"/>
          <w:szCs w:val="32"/>
        </w:rPr>
        <w:t>收支平衡</w:t>
      </w:r>
      <w:r>
        <w:rPr>
          <w:rFonts w:hint="eastAsia" w:ascii="仿宋" w:hAnsi="仿宋" w:eastAsia="仿宋"/>
          <w:b/>
          <w:bCs/>
          <w:color w:val="000000"/>
          <w:sz w:val="32"/>
          <w:szCs w:val="32"/>
        </w:rPr>
        <w:t>情况：</w:t>
      </w:r>
      <w:r>
        <w:rPr>
          <w:rFonts w:hint="eastAsia" w:ascii="仿宋_GB2312" w:eastAsia="仿宋_GB2312"/>
          <w:sz w:val="32"/>
          <w:szCs w:val="32"/>
        </w:rPr>
        <w:t>收支相抵，</w:t>
      </w:r>
      <w:r>
        <w:rPr>
          <w:rFonts w:hint="eastAsia" w:ascii="仿宋" w:hAnsi="仿宋" w:eastAsia="仿宋"/>
          <w:color w:val="000000"/>
          <w:sz w:val="32"/>
          <w:szCs w:val="32"/>
        </w:rPr>
        <w:t>年终结余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结转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13269</w:t>
      </w:r>
      <w:r>
        <w:rPr>
          <w:rFonts w:hint="eastAsia" w:ascii="仿宋" w:hAnsi="仿宋" w:eastAsia="仿宋"/>
          <w:color w:val="000000"/>
          <w:sz w:val="32"/>
          <w:szCs w:val="32"/>
        </w:rPr>
        <w:t>万元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，其中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：结转下的支出13269万元，净结余为零</w:t>
      </w:r>
      <w:r>
        <w:rPr>
          <w:rFonts w:hint="eastAsia" w:ascii="仿宋" w:hAnsi="仿宋" w:eastAsia="仿宋"/>
          <w:color w:val="000000"/>
          <w:sz w:val="32"/>
          <w:szCs w:val="32"/>
        </w:rPr>
        <w:t>。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firstLine="635" w:firstLineChars="200"/>
        <w:jc w:val="left"/>
        <w:textAlignment w:val="bottom"/>
        <w:rPr>
          <w:rFonts w:ascii="仿宋" w:hAnsi="仿宋" w:eastAsia="仿宋" w:cs="仿宋_GB2312"/>
          <w:b/>
          <w:bCs/>
          <w:spacing w:val="-2"/>
          <w:kern w:val="10"/>
          <w:position w:val="-2"/>
          <w:sz w:val="32"/>
          <w:szCs w:val="32"/>
        </w:rPr>
      </w:pPr>
      <w:r>
        <w:rPr>
          <w:rFonts w:hint="eastAsia" w:ascii="仿宋" w:hAnsi="仿宋" w:eastAsia="仿宋" w:cs="仿宋_GB2312"/>
          <w:b/>
          <w:bCs/>
          <w:spacing w:val="-2"/>
          <w:kern w:val="10"/>
          <w:position w:val="-2"/>
          <w:sz w:val="32"/>
          <w:szCs w:val="32"/>
        </w:rPr>
        <w:t>政府性基金</w:t>
      </w:r>
      <w:r>
        <w:rPr>
          <w:rFonts w:hint="eastAsia" w:ascii="仿宋" w:hAnsi="仿宋" w:eastAsia="仿宋" w:cs="仿宋_GB2312"/>
          <w:b/>
          <w:bCs/>
          <w:spacing w:val="-2"/>
          <w:kern w:val="10"/>
          <w:position w:val="-2"/>
          <w:sz w:val="32"/>
          <w:szCs w:val="32"/>
          <w:lang w:eastAsia="zh-CN"/>
        </w:rPr>
        <w:t>预算</w:t>
      </w:r>
      <w:r>
        <w:rPr>
          <w:rFonts w:hint="eastAsia" w:ascii="仿宋" w:hAnsi="仿宋" w:eastAsia="仿宋" w:cs="仿宋_GB2312"/>
          <w:b/>
          <w:bCs/>
          <w:spacing w:val="-2"/>
          <w:kern w:val="10"/>
          <w:position w:val="-2"/>
          <w:sz w:val="32"/>
          <w:szCs w:val="32"/>
        </w:rPr>
        <w:t>执行情况</w:t>
      </w:r>
    </w:p>
    <w:p>
      <w:pPr>
        <w:pStyle w:val="2"/>
        <w:spacing w:line="600" w:lineRule="exact"/>
        <w:ind w:firstLine="643" w:firstLineChars="200"/>
        <w:rPr>
          <w:rFonts w:eastAsia="仿宋"/>
          <w:sz w:val="30"/>
          <w:szCs w:val="30"/>
        </w:rPr>
      </w:pPr>
      <w:r>
        <w:rPr>
          <w:rFonts w:hint="eastAsia" w:ascii="仿宋" w:hAnsi="仿宋" w:eastAsia="仿宋"/>
          <w:b/>
          <w:color w:val="000000"/>
          <w:sz w:val="32"/>
          <w:szCs w:val="32"/>
        </w:rPr>
        <w:t>1、收入情况：</w:t>
      </w:r>
      <w:r>
        <w:rPr>
          <w:rFonts w:hint="eastAsia" w:ascii="仿宋" w:hAnsi="仿宋" w:eastAsia="仿宋"/>
          <w:bCs/>
          <w:color w:val="000000"/>
          <w:sz w:val="32"/>
          <w:szCs w:val="32"/>
        </w:rPr>
        <w:t>202</w:t>
      </w:r>
      <w:r>
        <w:rPr>
          <w:rFonts w:hint="eastAsia" w:ascii="仿宋" w:hAnsi="仿宋" w:eastAsia="仿宋"/>
          <w:bCs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bCs/>
          <w:color w:val="000000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</w:rPr>
        <w:t>政府性基金总收入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46140</w:t>
      </w:r>
      <w:r>
        <w:rPr>
          <w:rFonts w:hint="eastAsia" w:ascii="仿宋" w:hAnsi="仿宋" w:eastAsia="仿宋"/>
          <w:color w:val="000000"/>
          <w:sz w:val="32"/>
          <w:szCs w:val="32"/>
        </w:rPr>
        <w:t>万元，其中：</w:t>
      </w:r>
      <w:r>
        <w:rPr>
          <w:rFonts w:hint="eastAsia" w:ascii="仿宋" w:hAnsi="仿宋" w:eastAsia="仿宋"/>
          <w:sz w:val="30"/>
          <w:szCs w:val="30"/>
        </w:rPr>
        <w:t>政府性基金预算收入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19236</w:t>
      </w:r>
      <w:r>
        <w:rPr>
          <w:rFonts w:hint="eastAsia" w:ascii="仿宋" w:hAnsi="仿宋" w:eastAsia="仿宋"/>
          <w:sz w:val="30"/>
          <w:szCs w:val="30"/>
        </w:rPr>
        <w:t>万元，上级补助收入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541</w:t>
      </w:r>
      <w:r>
        <w:rPr>
          <w:rFonts w:hint="eastAsia" w:ascii="仿宋" w:hAnsi="仿宋" w:eastAsia="仿宋"/>
          <w:sz w:val="30"/>
          <w:szCs w:val="30"/>
        </w:rPr>
        <w:t>万元,</w:t>
      </w:r>
      <w:r>
        <w:rPr>
          <w:rFonts w:hint="eastAsia" w:ascii="仿宋" w:hAnsi="仿宋" w:eastAsia="仿宋"/>
          <w:sz w:val="30"/>
          <w:szCs w:val="30"/>
          <w:lang w:eastAsia="zh-CN"/>
        </w:rPr>
        <w:t>调入资金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27万元，</w:t>
      </w:r>
      <w:r>
        <w:rPr>
          <w:rFonts w:hint="eastAsia" w:ascii="仿宋" w:hAnsi="仿宋" w:eastAsia="仿宋"/>
          <w:sz w:val="30"/>
          <w:szCs w:val="30"/>
        </w:rPr>
        <w:t>专项债券转贷收入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26000</w:t>
      </w:r>
      <w:r>
        <w:rPr>
          <w:rFonts w:hint="eastAsia" w:ascii="仿宋" w:hAnsi="仿宋" w:eastAsia="仿宋"/>
          <w:sz w:val="30"/>
          <w:szCs w:val="30"/>
        </w:rPr>
        <w:t>万元</w:t>
      </w:r>
      <w:r>
        <w:rPr>
          <w:rFonts w:hint="eastAsia" w:ascii="仿宋" w:hAnsi="仿宋" w:eastAsia="仿宋"/>
          <w:sz w:val="30"/>
          <w:szCs w:val="30"/>
          <w:lang w:eastAsia="zh-CN"/>
        </w:rPr>
        <w:t>，上年结余结转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336</w:t>
      </w:r>
      <w:r>
        <w:rPr>
          <w:rFonts w:hint="eastAsia" w:ascii="仿宋" w:hAnsi="仿宋" w:eastAsia="仿宋"/>
          <w:sz w:val="30"/>
          <w:szCs w:val="30"/>
          <w:lang w:eastAsia="zh-CN"/>
        </w:rPr>
        <w:t>万元</w:t>
      </w:r>
      <w:r>
        <w:rPr>
          <w:rFonts w:hint="eastAsia" w:ascii="仿宋" w:hAnsi="仿宋" w:eastAsia="仿宋"/>
          <w:sz w:val="30"/>
          <w:szCs w:val="30"/>
        </w:rPr>
        <w:t>。</w:t>
      </w:r>
      <w:r>
        <w:rPr>
          <w:rFonts w:hint="eastAsia" w:eastAsia="仿宋"/>
          <w:sz w:val="30"/>
          <w:szCs w:val="30"/>
        </w:rPr>
        <w:t xml:space="preserve"> </w:t>
      </w:r>
    </w:p>
    <w:p>
      <w:pPr>
        <w:adjustRightInd w:val="0"/>
        <w:snapToGrid w:val="0"/>
        <w:spacing w:line="640" w:lineRule="exact"/>
        <w:ind w:firstLine="643" w:firstLineChars="200"/>
        <w:jc w:val="lef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b/>
          <w:color w:val="000000"/>
          <w:sz w:val="32"/>
          <w:szCs w:val="32"/>
        </w:rPr>
        <w:t>2、支出情况</w:t>
      </w:r>
      <w:r>
        <w:rPr>
          <w:rFonts w:hint="eastAsia" w:ascii="仿宋" w:hAnsi="仿宋" w:eastAsia="仿宋"/>
          <w:color w:val="000000"/>
          <w:sz w:val="32"/>
          <w:szCs w:val="32"/>
        </w:rPr>
        <w:t>：202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color w:val="000000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</w:rPr>
        <w:t>政府性基金</w:t>
      </w:r>
      <w:r>
        <w:rPr>
          <w:rFonts w:hint="eastAsia" w:ascii="仿宋" w:hAnsi="仿宋" w:eastAsia="仿宋"/>
          <w:color w:val="000000"/>
          <w:sz w:val="32"/>
          <w:szCs w:val="32"/>
        </w:rPr>
        <w:t>支出总计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43873</w:t>
      </w:r>
      <w:r>
        <w:rPr>
          <w:rFonts w:hint="eastAsia" w:ascii="仿宋" w:hAnsi="仿宋" w:eastAsia="仿宋"/>
          <w:color w:val="000000"/>
          <w:sz w:val="32"/>
          <w:szCs w:val="32"/>
        </w:rPr>
        <w:t>万元，其中：</w:t>
      </w:r>
      <w:r>
        <w:rPr>
          <w:rFonts w:hint="eastAsia" w:ascii="仿宋_GB2312" w:eastAsia="仿宋_GB2312"/>
          <w:sz w:val="32"/>
          <w:szCs w:val="32"/>
        </w:rPr>
        <w:t>政府性基金</w:t>
      </w:r>
      <w:r>
        <w:rPr>
          <w:rFonts w:hint="eastAsia" w:ascii="仿宋" w:hAnsi="仿宋" w:eastAsia="仿宋"/>
          <w:color w:val="000000"/>
          <w:sz w:val="32"/>
          <w:szCs w:val="32"/>
        </w:rPr>
        <w:t>预算支出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32900</w:t>
      </w:r>
      <w:r>
        <w:rPr>
          <w:rFonts w:hint="eastAsia" w:ascii="仿宋" w:hAnsi="仿宋" w:eastAsia="仿宋"/>
          <w:color w:val="000000"/>
          <w:sz w:val="32"/>
          <w:szCs w:val="32"/>
        </w:rPr>
        <w:t>万元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，上解支出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7万元，</w:t>
      </w:r>
      <w:r>
        <w:rPr>
          <w:rFonts w:hint="eastAsia" w:ascii="仿宋" w:hAnsi="仿宋" w:eastAsia="仿宋"/>
          <w:color w:val="000000"/>
          <w:sz w:val="32"/>
          <w:szCs w:val="32"/>
        </w:rPr>
        <w:t>调出资金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10966</w:t>
      </w:r>
      <w:r>
        <w:rPr>
          <w:rFonts w:hint="eastAsia" w:ascii="仿宋" w:hAnsi="仿宋" w:eastAsia="仿宋"/>
          <w:color w:val="000000"/>
          <w:sz w:val="32"/>
          <w:szCs w:val="32"/>
        </w:rPr>
        <w:t>万元。</w:t>
      </w:r>
    </w:p>
    <w:p>
      <w:pPr>
        <w:adjustRightInd w:val="0"/>
        <w:snapToGrid w:val="0"/>
        <w:spacing w:line="640" w:lineRule="exact"/>
        <w:ind w:firstLine="643" w:firstLineChars="200"/>
        <w:jc w:val="lef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000000"/>
          <w:sz w:val="32"/>
          <w:szCs w:val="32"/>
        </w:rPr>
        <w:t>3、</w:t>
      </w:r>
      <w:r>
        <w:rPr>
          <w:rFonts w:hint="eastAsia" w:ascii="仿宋_GB2312" w:eastAsia="仿宋_GB2312"/>
          <w:b/>
          <w:sz w:val="32"/>
          <w:szCs w:val="32"/>
        </w:rPr>
        <w:t>收支平衡</w:t>
      </w:r>
      <w:r>
        <w:rPr>
          <w:rFonts w:hint="eastAsia" w:ascii="仿宋" w:hAnsi="仿宋" w:eastAsia="仿宋"/>
          <w:b/>
          <w:bCs/>
          <w:color w:val="000000"/>
          <w:sz w:val="32"/>
          <w:szCs w:val="32"/>
        </w:rPr>
        <w:t>情况：</w:t>
      </w:r>
      <w:r>
        <w:rPr>
          <w:rFonts w:hint="eastAsia" w:ascii="仿宋_GB2312" w:eastAsia="仿宋_GB2312"/>
          <w:sz w:val="32"/>
          <w:szCs w:val="32"/>
        </w:rPr>
        <w:t>收支相抵，</w:t>
      </w:r>
      <w:r>
        <w:rPr>
          <w:rFonts w:hint="eastAsia" w:ascii="仿宋" w:hAnsi="仿宋" w:eastAsia="仿宋"/>
          <w:color w:val="000000"/>
          <w:sz w:val="32"/>
          <w:szCs w:val="32"/>
        </w:rPr>
        <w:t>年终结余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结转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2267</w:t>
      </w:r>
      <w:r>
        <w:rPr>
          <w:rFonts w:hint="eastAsia" w:ascii="仿宋" w:hAnsi="仿宋" w:eastAsia="仿宋"/>
          <w:color w:val="000000"/>
          <w:sz w:val="32"/>
          <w:szCs w:val="32"/>
        </w:rPr>
        <w:t>万元。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firstLine="635" w:firstLineChars="200"/>
        <w:jc w:val="left"/>
        <w:textAlignment w:val="bottom"/>
        <w:rPr>
          <w:rFonts w:ascii="仿宋" w:hAnsi="仿宋" w:eastAsia="仿宋" w:cs="仿宋_GB2312"/>
          <w:b/>
          <w:bCs/>
          <w:spacing w:val="-2"/>
          <w:kern w:val="10"/>
          <w:position w:val="-2"/>
          <w:sz w:val="32"/>
          <w:szCs w:val="32"/>
        </w:rPr>
      </w:pPr>
      <w:r>
        <w:rPr>
          <w:rFonts w:hint="eastAsia" w:ascii="仿宋" w:hAnsi="仿宋" w:eastAsia="仿宋" w:cs="仿宋_GB2312"/>
          <w:b/>
          <w:bCs/>
          <w:spacing w:val="-2"/>
          <w:kern w:val="10"/>
          <w:position w:val="-2"/>
          <w:sz w:val="32"/>
          <w:szCs w:val="32"/>
        </w:rPr>
        <w:t>国有资本</w:t>
      </w:r>
      <w:r>
        <w:rPr>
          <w:rFonts w:hint="eastAsia" w:ascii="仿宋" w:hAnsi="仿宋" w:eastAsia="仿宋" w:cs="仿宋_GB2312"/>
          <w:b/>
          <w:bCs/>
          <w:spacing w:val="-2"/>
          <w:kern w:val="10"/>
          <w:position w:val="-2"/>
          <w:sz w:val="32"/>
          <w:szCs w:val="32"/>
          <w:lang w:eastAsia="zh-CN"/>
        </w:rPr>
        <w:t>经营预算</w:t>
      </w:r>
      <w:r>
        <w:rPr>
          <w:rFonts w:hint="eastAsia" w:ascii="仿宋" w:hAnsi="仿宋" w:eastAsia="仿宋" w:cs="仿宋_GB2312"/>
          <w:b/>
          <w:bCs/>
          <w:spacing w:val="-2"/>
          <w:kern w:val="10"/>
          <w:position w:val="-2"/>
          <w:sz w:val="32"/>
          <w:szCs w:val="32"/>
        </w:rPr>
        <w:t>执行情况</w:t>
      </w:r>
    </w:p>
    <w:p>
      <w:pPr>
        <w:adjustRightInd w:val="0"/>
        <w:snapToGrid w:val="0"/>
        <w:spacing w:line="640" w:lineRule="exact"/>
        <w:ind w:firstLine="643" w:firstLineChars="200"/>
        <w:jc w:val="lef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b/>
          <w:color w:val="000000"/>
          <w:sz w:val="32"/>
          <w:szCs w:val="32"/>
        </w:rPr>
        <w:t>1、收入情况：</w:t>
      </w:r>
      <w:r>
        <w:rPr>
          <w:rFonts w:hint="eastAsia" w:ascii="仿宋" w:hAnsi="仿宋" w:eastAsia="仿宋"/>
          <w:bCs/>
          <w:color w:val="000000"/>
          <w:sz w:val="32"/>
          <w:szCs w:val="32"/>
        </w:rPr>
        <w:t>202</w:t>
      </w:r>
      <w:r>
        <w:rPr>
          <w:rFonts w:hint="eastAsia" w:ascii="仿宋" w:hAnsi="仿宋" w:eastAsia="仿宋"/>
          <w:bCs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国有资本经营</w:t>
      </w:r>
      <w:r>
        <w:rPr>
          <w:rFonts w:hint="eastAsia" w:ascii="仿宋_GB2312" w:eastAsia="仿宋_GB2312"/>
          <w:sz w:val="32"/>
          <w:szCs w:val="32"/>
          <w:lang w:eastAsia="zh-CN"/>
        </w:rPr>
        <w:t>预算总</w:t>
      </w:r>
      <w:r>
        <w:rPr>
          <w:rFonts w:hint="eastAsia" w:ascii="仿宋_GB2312" w:eastAsia="仿宋_GB2312"/>
          <w:sz w:val="32"/>
          <w:szCs w:val="32"/>
        </w:rPr>
        <w:t>收入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1947</w:t>
      </w:r>
      <w:r>
        <w:rPr>
          <w:rFonts w:hint="eastAsia" w:ascii="仿宋_GB2312" w:eastAsia="仿宋_GB2312"/>
          <w:sz w:val="32"/>
          <w:szCs w:val="32"/>
        </w:rPr>
        <w:t>万元</w:t>
      </w:r>
      <w:r>
        <w:rPr>
          <w:rFonts w:hint="eastAsia" w:ascii="仿宋_GB2312" w:eastAsia="仿宋_GB2312"/>
          <w:sz w:val="32"/>
          <w:szCs w:val="32"/>
          <w:lang w:eastAsia="zh-CN"/>
        </w:rPr>
        <w:t>，其中：利润收入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1940</w:t>
      </w:r>
      <w:r>
        <w:rPr>
          <w:rFonts w:hint="eastAsia" w:ascii="仿宋_GB2312" w:eastAsia="仿宋_GB2312"/>
          <w:sz w:val="32"/>
          <w:szCs w:val="32"/>
          <w:lang w:eastAsia="zh-CN"/>
        </w:rPr>
        <w:t>万元，转移支付收入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  <w:lang w:eastAsia="zh-CN"/>
        </w:rPr>
        <w:t>万元，上年结余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0万元</w:t>
      </w:r>
      <w:r>
        <w:rPr>
          <w:rFonts w:hint="eastAsia" w:ascii="仿宋" w:hAnsi="仿宋" w:eastAsia="仿宋"/>
          <w:color w:val="000000"/>
          <w:sz w:val="32"/>
          <w:szCs w:val="32"/>
        </w:rPr>
        <w:t>。</w:t>
      </w:r>
    </w:p>
    <w:p>
      <w:pPr>
        <w:adjustRightInd w:val="0"/>
        <w:snapToGrid w:val="0"/>
        <w:spacing w:line="640" w:lineRule="exact"/>
        <w:ind w:firstLine="643" w:firstLineChars="200"/>
        <w:jc w:val="lef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b/>
          <w:color w:val="000000"/>
          <w:sz w:val="32"/>
          <w:szCs w:val="32"/>
        </w:rPr>
        <w:t>2、支出情况</w:t>
      </w:r>
      <w:r>
        <w:rPr>
          <w:rFonts w:hint="eastAsia" w:ascii="仿宋" w:hAnsi="仿宋" w:eastAsia="仿宋"/>
          <w:color w:val="000000"/>
          <w:sz w:val="32"/>
          <w:szCs w:val="32"/>
        </w:rPr>
        <w:t>：202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color w:val="000000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</w:rPr>
        <w:t>国有资本经营</w:t>
      </w:r>
      <w:r>
        <w:rPr>
          <w:rFonts w:hint="eastAsia" w:ascii="仿宋_GB2312" w:eastAsia="仿宋_GB2312"/>
          <w:sz w:val="32"/>
          <w:szCs w:val="32"/>
          <w:lang w:eastAsia="zh-CN"/>
        </w:rPr>
        <w:t>预算总</w:t>
      </w:r>
      <w:r>
        <w:rPr>
          <w:rFonts w:hint="eastAsia" w:ascii="仿宋" w:hAnsi="仿宋" w:eastAsia="仿宋"/>
          <w:color w:val="000000"/>
          <w:sz w:val="32"/>
          <w:szCs w:val="32"/>
        </w:rPr>
        <w:t>支出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color w:val="000000"/>
          <w:sz w:val="32"/>
          <w:szCs w:val="32"/>
        </w:rPr>
        <w:t>万元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，其中：解决历史遗留问题及改革成本支出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万元，调出资金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1939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万元</w:t>
      </w:r>
      <w:r>
        <w:rPr>
          <w:rFonts w:hint="eastAsia" w:ascii="仿宋" w:hAnsi="仿宋" w:eastAsia="仿宋"/>
          <w:color w:val="000000"/>
          <w:sz w:val="32"/>
          <w:szCs w:val="32"/>
        </w:rPr>
        <w:t>。</w:t>
      </w:r>
    </w:p>
    <w:p>
      <w:pPr>
        <w:pStyle w:val="2"/>
        <w:adjustRightInd w:val="0"/>
        <w:snapToGrid w:val="0"/>
        <w:spacing w:line="640" w:lineRule="exact"/>
        <w:ind w:firstLine="643" w:firstLineChars="200"/>
        <w:jc w:val="lef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000000"/>
          <w:sz w:val="32"/>
          <w:szCs w:val="32"/>
        </w:rPr>
        <w:t>3、</w:t>
      </w:r>
      <w:r>
        <w:rPr>
          <w:rFonts w:hint="eastAsia" w:ascii="仿宋_GB2312" w:eastAsia="仿宋_GB2312"/>
          <w:b/>
          <w:sz w:val="32"/>
          <w:szCs w:val="32"/>
        </w:rPr>
        <w:t>收支平衡</w:t>
      </w:r>
      <w:r>
        <w:rPr>
          <w:rFonts w:hint="eastAsia" w:ascii="仿宋" w:hAnsi="仿宋" w:eastAsia="仿宋"/>
          <w:b/>
          <w:bCs/>
          <w:color w:val="000000"/>
          <w:sz w:val="32"/>
          <w:szCs w:val="32"/>
        </w:rPr>
        <w:t>情况：</w:t>
      </w:r>
      <w:r>
        <w:rPr>
          <w:rFonts w:hint="eastAsia" w:ascii="仿宋_GB2312" w:eastAsia="仿宋_GB2312"/>
          <w:sz w:val="32"/>
          <w:szCs w:val="32"/>
        </w:rPr>
        <w:t>收支相抵，</w:t>
      </w:r>
      <w:r>
        <w:rPr>
          <w:rFonts w:hint="eastAsia" w:ascii="仿宋" w:hAnsi="仿宋" w:eastAsia="仿宋"/>
          <w:color w:val="000000"/>
          <w:sz w:val="32"/>
          <w:szCs w:val="32"/>
        </w:rPr>
        <w:t>年终结余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结转</w:t>
      </w:r>
      <w:r>
        <w:rPr>
          <w:rFonts w:hint="eastAsia" w:ascii="仿宋" w:hAnsi="仿宋" w:eastAsia="仿宋"/>
          <w:color w:val="000000"/>
          <w:sz w:val="32"/>
          <w:szCs w:val="32"/>
        </w:rPr>
        <w:t>0万元。</w:t>
      </w:r>
    </w:p>
    <w:p>
      <w:pPr>
        <w:adjustRightInd w:val="0"/>
        <w:snapToGrid w:val="0"/>
        <w:spacing w:line="640" w:lineRule="exact"/>
        <w:ind w:firstLine="643" w:firstLineChars="200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（四）社会保险基金预算执行情况</w:t>
      </w:r>
    </w:p>
    <w:p>
      <w:pPr>
        <w:adjustRightInd w:val="0"/>
        <w:snapToGrid w:val="0"/>
        <w:spacing w:line="640" w:lineRule="exact"/>
        <w:ind w:firstLine="643" w:firstLineChars="200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1、收入情况：</w:t>
      </w:r>
      <w:r>
        <w:rPr>
          <w:rFonts w:hint="eastAsia" w:ascii="仿宋_GB2312" w:eastAsia="仿宋_GB2312"/>
          <w:sz w:val="32"/>
          <w:szCs w:val="32"/>
        </w:rPr>
        <w:t>泽普县社会保险基金总收入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60694</w:t>
      </w:r>
      <w:r>
        <w:rPr>
          <w:rFonts w:hint="eastAsia" w:ascii="仿宋_GB2312" w:eastAsia="仿宋_GB2312"/>
          <w:sz w:val="32"/>
          <w:szCs w:val="32"/>
        </w:rPr>
        <w:t>万元，其中：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2021年</w:t>
      </w:r>
      <w:r>
        <w:rPr>
          <w:rFonts w:hint="eastAsia" w:ascii="仿宋_GB2312" w:eastAsia="仿宋_GB2312"/>
          <w:sz w:val="32"/>
          <w:szCs w:val="32"/>
        </w:rPr>
        <w:t>社会保险基金收入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24108</w:t>
      </w:r>
      <w:r>
        <w:rPr>
          <w:rFonts w:hint="eastAsia" w:ascii="仿宋_GB2312" w:eastAsia="仿宋_GB2312"/>
          <w:sz w:val="32"/>
          <w:szCs w:val="32"/>
        </w:rPr>
        <w:t>万元</w:t>
      </w:r>
      <w:r>
        <w:rPr>
          <w:rFonts w:hint="eastAsia" w:ascii="仿宋_GB2312" w:eastAsia="仿宋_GB2312"/>
          <w:sz w:val="32"/>
          <w:szCs w:val="32"/>
          <w:lang w:eastAsia="zh-CN"/>
        </w:rPr>
        <w:t>，上年结余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36586</w:t>
      </w:r>
      <w:r>
        <w:rPr>
          <w:rFonts w:hint="eastAsia" w:ascii="仿宋_GB2312" w:eastAsia="仿宋_GB2312"/>
          <w:sz w:val="32"/>
          <w:szCs w:val="32"/>
          <w:lang w:eastAsia="zh-CN"/>
        </w:rPr>
        <w:t>万元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adjustRightInd w:val="0"/>
        <w:snapToGrid w:val="0"/>
        <w:spacing w:line="640" w:lineRule="exact"/>
        <w:ind w:firstLine="643" w:firstLineChars="200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2、支出情况：</w:t>
      </w:r>
      <w:r>
        <w:rPr>
          <w:rFonts w:hint="eastAsia" w:ascii="仿宋_GB2312" w:eastAsia="仿宋_GB2312"/>
          <w:sz w:val="32"/>
          <w:szCs w:val="32"/>
        </w:rPr>
        <w:t>泽普县社会保险基金总支出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16258</w:t>
      </w:r>
      <w:r>
        <w:rPr>
          <w:rFonts w:hint="eastAsia" w:ascii="仿宋_GB2312" w:eastAsia="仿宋_GB2312"/>
          <w:sz w:val="32"/>
          <w:szCs w:val="32"/>
        </w:rPr>
        <w:t>万元，其中：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2021年</w:t>
      </w:r>
      <w:r>
        <w:rPr>
          <w:rFonts w:hint="eastAsia" w:ascii="仿宋_GB2312" w:eastAsia="仿宋_GB2312"/>
          <w:sz w:val="32"/>
          <w:szCs w:val="32"/>
        </w:rPr>
        <w:t>社会保险基金支出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16258</w:t>
      </w:r>
      <w:r>
        <w:rPr>
          <w:rFonts w:hint="eastAsia" w:ascii="仿宋_GB2312" w:eastAsia="仿宋_GB2312"/>
          <w:sz w:val="32"/>
          <w:szCs w:val="32"/>
        </w:rPr>
        <w:t>万元。</w:t>
      </w:r>
    </w:p>
    <w:p>
      <w:pPr>
        <w:adjustRightInd w:val="0"/>
        <w:snapToGrid w:val="0"/>
        <w:spacing w:line="640" w:lineRule="exact"/>
        <w:ind w:firstLine="643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3、平衡情况：</w:t>
      </w:r>
      <w:r>
        <w:rPr>
          <w:rFonts w:hint="eastAsia" w:ascii="仿宋_GB2312" w:eastAsia="仿宋_GB2312"/>
          <w:sz w:val="32"/>
          <w:szCs w:val="32"/>
        </w:rPr>
        <w:t>收支相抵，泽普县社会保险基金年终滚存结余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44436</w:t>
      </w:r>
      <w:r>
        <w:rPr>
          <w:rFonts w:hint="eastAsia" w:ascii="仿宋_GB2312" w:eastAsia="仿宋_GB2312"/>
          <w:sz w:val="32"/>
          <w:szCs w:val="32"/>
        </w:rPr>
        <w:t>万元。</w:t>
      </w:r>
    </w:p>
    <w:p>
      <w:pPr>
        <w:adjustRightInd w:val="0"/>
        <w:snapToGrid w:val="0"/>
        <w:spacing w:line="640" w:lineRule="exact"/>
        <w:ind w:firstLine="675" w:firstLineChars="200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eastAsia="仿宋_GB2312"/>
          <w:b/>
          <w:spacing w:val="8"/>
          <w:sz w:val="32"/>
          <w:szCs w:val="32"/>
        </w:rPr>
        <w:t>（五）政府债务执行情况</w:t>
      </w:r>
    </w:p>
    <w:p>
      <w:pPr>
        <w:adjustRightInd w:val="0"/>
        <w:snapToGrid w:val="0"/>
        <w:spacing w:line="640" w:lineRule="exact"/>
        <w:ind w:firstLine="672" w:firstLineChars="200"/>
        <w:jc w:val="left"/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val="en-US" w:eastAsia="zh-CN"/>
        </w:rPr>
        <w:t>2021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eastAsia="zh-CN"/>
        </w:rPr>
        <w:t>自治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</w:rPr>
        <w:t>区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eastAsia="zh-CN"/>
        </w:rPr>
        <w:t>下达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</w:rPr>
        <w:t>并经县人大常委会审议通过泽普县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eastAsia="zh-CN"/>
        </w:rPr>
        <w:t>地方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</w:rPr>
        <w:t>政府债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eastAsia="zh-CN"/>
        </w:rPr>
        <w:t>务余额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</w:rPr>
        <w:t>限额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val="en-US" w:eastAsia="zh-CN"/>
        </w:rPr>
        <w:t>174447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</w:rPr>
        <w:t>万元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eastAsia="zh-CN"/>
        </w:rPr>
        <w:t>，其中：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val="en-US" w:eastAsia="zh-CN"/>
        </w:rPr>
        <w:t>2020年政府债务限额128942万元，2021年新增债务限额45505万元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640" w:lineRule="exact"/>
        <w:ind w:firstLine="672" w:firstLineChars="200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eastAsia="zh-CN"/>
        </w:rPr>
        <w:t>自治区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</w:rPr>
        <w:t>转贷政府债券共计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val="en-US" w:eastAsia="zh-CN"/>
        </w:rPr>
        <w:t>45505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</w:rPr>
        <w:t>万元，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eastAsia="zh-CN"/>
        </w:rPr>
        <w:t>年内全部使用完毕。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</w:rPr>
        <w:t>其中：新增一般债券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val="en-US" w:eastAsia="zh-CN"/>
        </w:rPr>
        <w:t>19505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</w:rPr>
        <w:t>万元，新增一般专项债券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val="en-US" w:eastAsia="zh-CN"/>
        </w:rPr>
        <w:t>26000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</w:rPr>
        <w:t>万元。</w:t>
      </w:r>
    </w:p>
    <w:p>
      <w:pPr>
        <w:adjustRightInd w:val="0"/>
        <w:snapToGrid w:val="0"/>
        <w:spacing w:line="640" w:lineRule="exact"/>
        <w:ind w:firstLine="672" w:firstLineChars="200"/>
        <w:jc w:val="left"/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eastAsia="zh-CN"/>
        </w:rPr>
        <w:t>泽普县偿还政府债务及支付政府债券相关费用共计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val="en-US" w:eastAsia="zh-CN"/>
        </w:rPr>
        <w:t>9496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eastAsia="zh-CN"/>
        </w:rPr>
        <w:t>万元，其中：</w:t>
      </w:r>
    </w:p>
    <w:p>
      <w:pPr>
        <w:adjustRightInd w:val="0"/>
        <w:snapToGrid w:val="0"/>
        <w:spacing w:line="640" w:lineRule="exact"/>
        <w:ind w:firstLine="672" w:firstLineChars="200"/>
        <w:jc w:val="left"/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eastAsia="zh-CN"/>
        </w:rPr>
        <w:t>）偿还到期债券本金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val="en-US" w:eastAsia="zh-CN"/>
        </w:rPr>
        <w:t>5882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eastAsia="zh-CN"/>
        </w:rPr>
        <w:t>万元，其中：自有财力偿还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val="en-US" w:eastAsia="zh-CN"/>
        </w:rPr>
        <w:t>1882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eastAsia="zh-CN"/>
        </w:rPr>
        <w:t>万元，再融资债券偿还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val="en-US" w:eastAsia="zh-CN"/>
        </w:rPr>
        <w:t>4000万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eastAsia="zh-CN"/>
        </w:rPr>
        <w:t>元。</w:t>
      </w:r>
    </w:p>
    <w:p>
      <w:pPr>
        <w:adjustRightInd w:val="0"/>
        <w:snapToGrid w:val="0"/>
        <w:spacing w:line="640" w:lineRule="exact"/>
        <w:ind w:firstLine="672" w:firstLineChars="200"/>
        <w:jc w:val="left"/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eastAsia="zh-CN"/>
        </w:rPr>
        <w:t>（2）偿还日协贷款债务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val="en-US" w:eastAsia="zh-CN"/>
        </w:rPr>
        <w:t>80万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eastAsia="zh-CN"/>
        </w:rPr>
        <w:t>元，其中：自有财力偿还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val="en-US" w:eastAsia="zh-CN"/>
        </w:rPr>
        <w:t>80万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eastAsia="zh-CN"/>
        </w:rPr>
        <w:t>元。</w:t>
      </w:r>
    </w:p>
    <w:p>
      <w:pPr>
        <w:adjustRightInd w:val="0"/>
        <w:snapToGrid w:val="0"/>
        <w:spacing w:line="640" w:lineRule="exact"/>
        <w:ind w:firstLine="672" w:firstLineChars="200"/>
        <w:jc w:val="left"/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eastAsia="zh-CN"/>
        </w:rPr>
        <w:t>（3）支付政府债券利息及兑付手续费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val="en-US" w:eastAsia="zh-CN"/>
        </w:rPr>
        <w:t>3487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eastAsia="zh-CN"/>
        </w:rPr>
        <w:t>万元，其中：一般债券利息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val="en-US" w:eastAsia="zh-CN"/>
        </w:rPr>
        <w:t>2436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eastAsia="zh-CN"/>
        </w:rPr>
        <w:t>万元，专项债券利息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val="en-US" w:eastAsia="zh-CN"/>
        </w:rPr>
        <w:t>1051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eastAsia="zh-CN"/>
        </w:rPr>
        <w:t>万元。</w:t>
      </w:r>
    </w:p>
    <w:p>
      <w:pPr>
        <w:adjustRightInd w:val="0"/>
        <w:snapToGrid w:val="0"/>
        <w:spacing w:line="640" w:lineRule="exact"/>
        <w:ind w:firstLine="672" w:firstLineChars="200"/>
        <w:jc w:val="left"/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eastAsia="zh-CN"/>
        </w:rPr>
        <w:t>（4）支付政府债券发行及登记服务费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val="en-US" w:eastAsia="zh-CN"/>
        </w:rPr>
        <w:t>47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eastAsia="zh-CN"/>
        </w:rPr>
        <w:t>万元，其中：一般债券发行费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val="en-US" w:eastAsia="zh-CN"/>
        </w:rPr>
        <w:t>20万元，专项债券发行费27万元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eastAsia="zh-CN"/>
        </w:rPr>
        <w:t>。</w:t>
      </w:r>
    </w:p>
    <w:p>
      <w:pPr>
        <w:ind w:firstLine="723" w:firstLineChars="200"/>
        <w:rPr>
          <w:rFonts w:ascii="Times New Roman" w:hAnsi="Times New Roman" w:eastAsia="方正楷体_GBK" w:cs="Times New Roman"/>
          <w:b/>
          <w:sz w:val="36"/>
          <w:szCs w:val="36"/>
        </w:rPr>
      </w:pPr>
      <w:r>
        <w:rPr>
          <w:rFonts w:hint="eastAsia" w:ascii="楷体" w:hAnsi="楷体" w:eastAsia="楷体" w:cs="楷体"/>
          <w:b/>
          <w:color w:val="000000"/>
          <w:sz w:val="36"/>
          <w:szCs w:val="36"/>
        </w:rPr>
        <w:t>二、</w:t>
      </w:r>
      <w:r>
        <w:rPr>
          <w:rFonts w:hint="eastAsia" w:ascii="楷体" w:hAnsi="楷体" w:eastAsia="楷体" w:cs="楷体"/>
          <w:b/>
          <w:spacing w:val="-2"/>
          <w:kern w:val="10"/>
          <w:position w:val="-2"/>
          <w:sz w:val="36"/>
          <w:szCs w:val="36"/>
          <w:lang w:val="en-US" w:eastAsia="zh-CN"/>
        </w:rPr>
        <w:t>部门决算情况</w:t>
      </w:r>
    </w:p>
    <w:p>
      <w:pPr>
        <w:ind w:firstLine="715" w:firstLineChars="200"/>
        <w:rPr>
          <w:rFonts w:hint="eastAsia" w:ascii="楷体" w:hAnsi="楷体" w:eastAsia="楷体" w:cs="楷体"/>
          <w:b/>
          <w:spacing w:val="-2"/>
          <w:kern w:val="10"/>
          <w:position w:val="-2"/>
          <w:sz w:val="36"/>
          <w:szCs w:val="36"/>
          <w:lang w:val="en-US" w:eastAsia="zh-CN"/>
        </w:rPr>
      </w:pPr>
      <w:r>
        <w:rPr>
          <w:rFonts w:hint="eastAsia" w:ascii="楷体" w:hAnsi="楷体" w:eastAsia="楷体" w:cs="楷体"/>
          <w:b/>
          <w:spacing w:val="-2"/>
          <w:kern w:val="10"/>
          <w:position w:val="-2"/>
          <w:sz w:val="36"/>
          <w:szCs w:val="36"/>
          <w:lang w:val="en-US" w:eastAsia="zh-CN"/>
        </w:rPr>
        <w:t>（一）部门决算收支情况</w:t>
      </w:r>
    </w:p>
    <w:p>
      <w:pPr>
        <w:adjustRightInd w:val="0"/>
        <w:snapToGrid w:val="0"/>
        <w:spacing w:line="640" w:lineRule="exact"/>
        <w:ind w:firstLine="672" w:firstLineChars="200"/>
        <w:jc w:val="left"/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eastAsia="zh-CN"/>
        </w:rPr>
        <w:t>泽普县部门决算本年收入合计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val="en-US" w:eastAsia="zh-CN"/>
        </w:rPr>
        <w:t>36.74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eastAsia="zh-CN"/>
        </w:rPr>
        <w:t>亿元，增长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val="en-US" w:eastAsia="zh-CN"/>
        </w:rPr>
        <w:t>4.21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eastAsia="zh-CN"/>
        </w:rPr>
        <w:t>%，其中：财政拨款收入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val="en-US" w:eastAsia="zh-CN"/>
        </w:rPr>
        <w:t>31.13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eastAsia="zh-CN"/>
        </w:rPr>
        <w:t>亿元，增长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val="en-US" w:eastAsia="zh-CN"/>
        </w:rPr>
        <w:t>4.18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eastAsia="zh-CN"/>
        </w:rPr>
        <w:t>%；事业收入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val="en-US" w:eastAsia="zh-CN"/>
        </w:rPr>
        <w:t>2.14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eastAsia="zh-CN"/>
        </w:rPr>
        <w:t>亿元，下降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val="en-US" w:eastAsia="zh-CN"/>
        </w:rPr>
        <w:t>0.77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eastAsia="zh-CN"/>
        </w:rPr>
        <w:t>%。</w:t>
      </w:r>
    </w:p>
    <w:p>
      <w:pPr>
        <w:adjustRightInd w:val="0"/>
        <w:snapToGrid w:val="0"/>
        <w:spacing w:line="640" w:lineRule="exact"/>
        <w:ind w:firstLine="672" w:firstLineChars="200"/>
        <w:jc w:val="left"/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eastAsia="zh-CN"/>
        </w:rPr>
        <w:t>泽普县部门决算本年支出合计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val="en-US" w:eastAsia="zh-CN"/>
        </w:rPr>
        <w:t>37.81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eastAsia="zh-CN"/>
        </w:rPr>
        <w:t>亿元，同比增长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val="en-US" w:eastAsia="zh-CN"/>
        </w:rPr>
        <w:t>8.08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eastAsia="zh-CN"/>
        </w:rPr>
        <w:t>%，其中：基本支出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val="en-US" w:eastAsia="zh-CN"/>
        </w:rPr>
        <w:t>15.07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eastAsia="zh-CN"/>
        </w:rPr>
        <w:t>亿元，同比增长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val="en-US" w:eastAsia="zh-CN"/>
        </w:rPr>
        <w:t>11.46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eastAsia="zh-CN"/>
        </w:rPr>
        <w:t>%，占总支出的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val="en-US" w:eastAsia="zh-CN"/>
        </w:rPr>
        <w:t>39.86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eastAsia="zh-CN"/>
        </w:rPr>
        <w:t>%；项目支出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val="en-US" w:eastAsia="zh-CN"/>
        </w:rPr>
        <w:t>22.74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eastAsia="zh-CN"/>
        </w:rPr>
        <w:t>亿元，同比增长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val="en-US" w:eastAsia="zh-CN"/>
        </w:rPr>
        <w:t>5.94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eastAsia="zh-CN"/>
        </w:rPr>
        <w:t>%，占总支出的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val="en-US" w:eastAsia="zh-CN"/>
        </w:rPr>
        <w:t>60.14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eastAsia="zh-CN"/>
        </w:rPr>
        <w:t>%。</w:t>
      </w:r>
    </w:p>
    <w:p>
      <w:pPr>
        <w:adjustRightInd w:val="0"/>
        <w:snapToGrid w:val="0"/>
        <w:spacing w:line="640" w:lineRule="exact"/>
        <w:ind w:firstLine="675" w:firstLineChars="200"/>
        <w:jc w:val="left"/>
        <w:rPr>
          <w:rFonts w:hint="eastAsia" w:ascii="仿宋_GB2312" w:hAnsi="宋体" w:eastAsia="仿宋_GB2312" w:cs="宋体"/>
          <w:b/>
          <w:bCs/>
          <w:color w:val="000000"/>
          <w:spacing w:val="8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b/>
          <w:bCs/>
          <w:color w:val="000000"/>
          <w:spacing w:val="8"/>
          <w:kern w:val="0"/>
          <w:sz w:val="32"/>
          <w:szCs w:val="32"/>
          <w:lang w:eastAsia="zh-CN"/>
        </w:rPr>
        <w:t>（二</w:t>
      </w:r>
      <w:r>
        <w:rPr>
          <w:rFonts w:hint="eastAsia" w:ascii="仿宋_GB2312" w:hAnsi="宋体" w:eastAsia="仿宋_GB2312" w:cs="宋体"/>
          <w:b/>
          <w:bCs/>
          <w:color w:val="000000"/>
          <w:spacing w:val="8"/>
          <w:kern w:val="0"/>
          <w:sz w:val="32"/>
          <w:szCs w:val="32"/>
          <w:lang w:val="en-US" w:eastAsia="zh-CN"/>
        </w:rPr>
        <w:t>）部门决算结转结余情况</w:t>
      </w:r>
    </w:p>
    <w:p>
      <w:pPr>
        <w:adjustRightInd w:val="0"/>
        <w:snapToGrid w:val="0"/>
        <w:spacing w:line="640" w:lineRule="exact"/>
        <w:ind w:firstLine="672" w:firstLineChars="200"/>
        <w:jc w:val="left"/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eastAsia="zh-CN"/>
        </w:rPr>
        <w:t>泽普县部门决算年末结转结余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val="en-US" w:eastAsia="zh-CN"/>
        </w:rPr>
        <w:t>0.2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eastAsia="zh-CN"/>
        </w:rPr>
        <w:t>亿元，同比下降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val="en-US" w:eastAsia="zh-CN"/>
        </w:rPr>
        <w:t>73.8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eastAsia="zh-CN"/>
        </w:rPr>
        <w:t>%，其中：财政拨款结转结余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val="en-US" w:eastAsia="zh-CN"/>
        </w:rPr>
        <w:t>0.15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eastAsia="zh-CN"/>
        </w:rPr>
        <w:t>亿元，同比下降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val="en-US" w:eastAsia="zh-CN"/>
        </w:rPr>
        <w:t>44.23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eastAsia="zh-CN"/>
        </w:rPr>
        <w:t>%。</w:t>
      </w:r>
    </w:p>
    <w:p>
      <w:pPr>
        <w:adjustRightInd w:val="0"/>
        <w:snapToGrid w:val="0"/>
        <w:spacing w:line="640" w:lineRule="exact"/>
        <w:ind w:firstLine="675" w:firstLineChars="200"/>
        <w:jc w:val="left"/>
        <w:rPr>
          <w:rFonts w:hint="eastAsia" w:ascii="仿宋_GB2312" w:hAnsi="宋体" w:eastAsia="仿宋_GB2312" w:cs="宋体"/>
          <w:b/>
          <w:bCs/>
          <w:color w:val="000000"/>
          <w:spacing w:val="8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b/>
          <w:bCs/>
          <w:color w:val="000000"/>
          <w:spacing w:val="8"/>
          <w:kern w:val="0"/>
          <w:sz w:val="32"/>
          <w:szCs w:val="32"/>
          <w:lang w:eastAsia="zh-CN"/>
        </w:rPr>
        <w:t>（三）一般公共预算财政拨款“三公”经费支出情况</w:t>
      </w:r>
    </w:p>
    <w:p>
      <w:pPr>
        <w:adjustRightInd w:val="0"/>
        <w:snapToGrid w:val="0"/>
        <w:spacing w:line="640" w:lineRule="exact"/>
        <w:ind w:firstLine="672" w:firstLineChars="200"/>
        <w:jc w:val="left"/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eastAsia="zh-CN"/>
        </w:rPr>
        <w:t>全县“三公”经费支出情况。一般公共预算拨款“三公”经费支出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val="en-US" w:eastAsia="zh-CN"/>
        </w:rPr>
        <w:t>968.33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eastAsia="zh-CN"/>
        </w:rPr>
        <w:t>万元，同比下降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val="en-US" w:eastAsia="zh-CN"/>
        </w:rPr>
        <w:t>26.41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eastAsia="zh-CN"/>
        </w:rPr>
        <w:t xml:space="preserve"> %。其中：</w:t>
      </w:r>
    </w:p>
    <w:p>
      <w:pPr>
        <w:adjustRightInd w:val="0"/>
        <w:snapToGrid w:val="0"/>
        <w:spacing w:line="640" w:lineRule="exact"/>
        <w:ind w:firstLine="672" w:firstLineChars="200"/>
        <w:jc w:val="left"/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eastAsia="zh-CN"/>
        </w:rPr>
        <w:t>—因公出国（境）支出0万元，同比降低100%；</w:t>
      </w:r>
    </w:p>
    <w:p>
      <w:pPr>
        <w:adjustRightInd w:val="0"/>
        <w:snapToGrid w:val="0"/>
        <w:spacing w:line="640" w:lineRule="exact"/>
        <w:ind w:firstLine="672" w:firstLineChars="200"/>
        <w:jc w:val="left"/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eastAsia="zh-CN"/>
        </w:rPr>
        <w:t>—公务用车购置及运行维护费支出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val="en-US" w:eastAsia="zh-CN"/>
        </w:rPr>
        <w:t>926.67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eastAsia="zh-CN"/>
        </w:rPr>
        <w:t>万元，同比下降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val="en-US" w:eastAsia="zh-CN"/>
        </w:rPr>
        <w:t>28.47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eastAsia="zh-CN"/>
        </w:rPr>
        <w:t>%；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val="en-US" w:eastAsia="zh-CN"/>
        </w:rPr>
        <w:t xml:space="preserve"> </w:t>
      </w:r>
    </w:p>
    <w:p>
      <w:pPr>
        <w:adjustRightInd w:val="0"/>
        <w:snapToGrid w:val="0"/>
        <w:spacing w:line="640" w:lineRule="exact"/>
        <w:ind w:firstLine="672" w:firstLineChars="200"/>
        <w:jc w:val="left"/>
        <w:rPr>
          <w:rFonts w:hint="default" w:ascii="仿宋_GB2312" w:hAnsi="宋体" w:eastAsia="仿宋_GB2312" w:cs="宋体"/>
          <w:color w:val="000000"/>
          <w:spacing w:val="8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eastAsia="zh-CN"/>
        </w:rPr>
        <w:t>—公务接待费支出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val="en-US" w:eastAsia="zh-CN"/>
        </w:rPr>
        <w:t>41.67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eastAsia="zh-CN"/>
        </w:rPr>
        <w:t>万元，增加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val="en-US" w:eastAsia="zh-CN"/>
        </w:rPr>
        <w:t>21.36万元，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eastAsia="zh-CN"/>
        </w:rPr>
        <w:t>同比增长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val="en-US" w:eastAsia="zh-CN"/>
        </w:rPr>
        <w:t>105.27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lang w:eastAsia="zh-CN"/>
        </w:rPr>
        <w:t>%；</w:t>
      </w:r>
    </w:p>
    <w:p>
      <w:pPr>
        <w:ind w:firstLine="723" w:firstLineChars="200"/>
        <w:rPr>
          <w:rFonts w:hint="eastAsia" w:ascii="楷体" w:hAnsi="楷体" w:eastAsia="楷体" w:cs="楷体"/>
          <w:b/>
          <w:color w:val="000000"/>
          <w:sz w:val="36"/>
          <w:szCs w:val="36"/>
        </w:rPr>
      </w:pPr>
      <w:r>
        <w:rPr>
          <w:rFonts w:hint="eastAsia" w:ascii="楷体" w:hAnsi="楷体" w:eastAsia="楷体" w:cs="楷体"/>
          <w:b/>
          <w:color w:val="000000"/>
          <w:sz w:val="36"/>
          <w:szCs w:val="36"/>
        </w:rPr>
        <w:t>三、202</w:t>
      </w:r>
      <w:r>
        <w:rPr>
          <w:rFonts w:hint="eastAsia" w:ascii="楷体" w:hAnsi="楷体" w:eastAsia="楷体" w:cs="楷体"/>
          <w:b/>
          <w:color w:val="000000"/>
          <w:sz w:val="36"/>
          <w:szCs w:val="36"/>
          <w:lang w:val="en-US" w:eastAsia="zh-CN"/>
        </w:rPr>
        <w:t>1</w:t>
      </w:r>
      <w:r>
        <w:rPr>
          <w:rFonts w:hint="eastAsia" w:ascii="楷体" w:hAnsi="楷体" w:eastAsia="楷体" w:cs="楷体"/>
          <w:b/>
          <w:color w:val="000000"/>
          <w:sz w:val="36"/>
          <w:szCs w:val="36"/>
        </w:rPr>
        <w:t>年财政工作落实情况</w:t>
      </w:r>
    </w:p>
    <w:p>
      <w:pPr>
        <w:adjustRightInd w:val="0"/>
        <w:snapToGrid w:val="0"/>
        <w:spacing w:line="640" w:lineRule="exact"/>
        <w:ind w:firstLine="640" w:firstLineChars="200"/>
        <w:jc w:val="left"/>
        <w:rPr>
          <w:rFonts w:ascii="仿宋_GB2312" w:hAnsi="宋体" w:eastAsia="仿宋_GB2312"/>
          <w:sz w:val="32"/>
          <w:szCs w:val="32"/>
          <w:lang w:bidi="zh-CN"/>
        </w:rPr>
      </w:pPr>
      <w:r>
        <w:rPr>
          <w:rFonts w:ascii="仿宋_GB2312" w:hAnsi="宋体" w:eastAsia="仿宋_GB2312"/>
          <w:sz w:val="32"/>
          <w:szCs w:val="32"/>
          <w:lang w:bidi="zh-CN"/>
        </w:rPr>
        <w:t>202</w:t>
      </w:r>
      <w:r>
        <w:rPr>
          <w:rFonts w:hint="eastAsia" w:ascii="仿宋_GB2312" w:hAnsi="宋体" w:eastAsia="仿宋_GB2312"/>
          <w:sz w:val="32"/>
          <w:szCs w:val="32"/>
          <w:lang w:val="en-US" w:bidi="zh-CN"/>
        </w:rPr>
        <w:t>1</w:t>
      </w:r>
      <w:r>
        <w:rPr>
          <w:rFonts w:ascii="仿宋_GB2312" w:hAnsi="宋体" w:eastAsia="仿宋_GB2312"/>
          <w:sz w:val="32"/>
          <w:szCs w:val="32"/>
          <w:lang w:bidi="zh-CN"/>
        </w:rPr>
        <w:t>年，在</w:t>
      </w:r>
      <w:r>
        <w:rPr>
          <w:rFonts w:hint="eastAsia" w:ascii="仿宋_GB2312" w:hAnsi="宋体" w:eastAsia="仿宋_GB2312"/>
          <w:sz w:val="32"/>
          <w:szCs w:val="32"/>
          <w:lang w:bidi="zh-CN"/>
        </w:rPr>
        <w:t>县</w:t>
      </w:r>
      <w:r>
        <w:rPr>
          <w:rFonts w:ascii="仿宋_GB2312" w:hAnsi="宋体" w:eastAsia="仿宋_GB2312"/>
          <w:sz w:val="32"/>
          <w:szCs w:val="32"/>
          <w:lang w:bidi="zh-CN"/>
        </w:rPr>
        <w:t>委</w:t>
      </w:r>
      <w:r>
        <w:rPr>
          <w:rFonts w:hint="eastAsia" w:ascii="仿宋_GB2312" w:hAnsi="宋体" w:eastAsia="仿宋_GB2312"/>
          <w:sz w:val="32"/>
          <w:szCs w:val="32"/>
          <w:lang w:eastAsia="zh-CN" w:bidi="zh-CN"/>
        </w:rPr>
        <w:t>、政府</w:t>
      </w:r>
      <w:r>
        <w:rPr>
          <w:rFonts w:ascii="仿宋_GB2312" w:hAnsi="宋体" w:eastAsia="仿宋_GB2312"/>
          <w:sz w:val="32"/>
          <w:szCs w:val="32"/>
          <w:lang w:bidi="zh-CN"/>
        </w:rPr>
        <w:t>的坚强领导下，财政部门坚决树牢过“紧日子”思想，扎</w:t>
      </w:r>
      <w:bookmarkStart w:id="0" w:name="_GoBack"/>
      <w:bookmarkEnd w:id="0"/>
      <w:r>
        <w:rPr>
          <w:rFonts w:ascii="仿宋_GB2312" w:hAnsi="宋体" w:eastAsia="仿宋_GB2312"/>
          <w:sz w:val="32"/>
          <w:szCs w:val="32"/>
          <w:lang w:bidi="zh-CN"/>
        </w:rPr>
        <w:t>实做好“六稳”工作、全面落实“六保”任务，认真落实减税降费政策，努力克服财政收支矛盾，统筹推进“稳增长、促改革、调结构、惠民生、防风险”各项工作，集中精力保障</w:t>
      </w:r>
      <w:r>
        <w:rPr>
          <w:rFonts w:hint="eastAsia" w:ascii="仿宋_GB2312" w:hAnsi="宋体" w:eastAsia="仿宋_GB2312"/>
          <w:sz w:val="32"/>
          <w:szCs w:val="32"/>
          <w:lang w:bidi="zh-CN"/>
        </w:rPr>
        <w:t>全县</w:t>
      </w:r>
      <w:r>
        <w:rPr>
          <w:rFonts w:ascii="仿宋_GB2312" w:hAnsi="宋体" w:eastAsia="仿宋_GB2312"/>
          <w:sz w:val="32"/>
          <w:szCs w:val="32"/>
          <w:lang w:bidi="zh-CN"/>
        </w:rPr>
        <w:t>重大部署落实落地，财政收支工作目标如期实现，有力推动</w:t>
      </w:r>
      <w:r>
        <w:rPr>
          <w:rFonts w:hint="eastAsia" w:ascii="仿宋_GB2312" w:hAnsi="宋体" w:eastAsia="仿宋_GB2312"/>
          <w:sz w:val="32"/>
          <w:szCs w:val="32"/>
          <w:lang w:bidi="zh-CN"/>
        </w:rPr>
        <w:t>泽普县</w:t>
      </w:r>
      <w:r>
        <w:rPr>
          <w:rFonts w:ascii="仿宋_GB2312" w:hAnsi="宋体" w:eastAsia="仿宋_GB2312"/>
          <w:sz w:val="32"/>
          <w:szCs w:val="32"/>
          <w:lang w:bidi="zh-CN"/>
        </w:rPr>
        <w:t>经济社会稳健运行。</w:t>
      </w:r>
    </w:p>
    <w:p>
      <w:pPr>
        <w:adjustRightInd w:val="0"/>
        <w:snapToGrid w:val="0"/>
        <w:spacing w:line="640" w:lineRule="exact"/>
        <w:ind w:firstLine="640" w:firstLineChars="200"/>
        <w:jc w:val="left"/>
        <w:rPr>
          <w:rFonts w:ascii="仿宋_GB2312" w:hAnsi="宋体" w:eastAsia="仿宋_GB2312"/>
          <w:sz w:val="32"/>
          <w:szCs w:val="32"/>
          <w:lang w:bidi="zh-CN"/>
        </w:rPr>
      </w:pPr>
      <w:r>
        <w:rPr>
          <w:rFonts w:hint="eastAsia" w:ascii="仿宋_GB2312" w:hAnsi="宋体" w:eastAsia="仿宋_GB2312"/>
          <w:sz w:val="32"/>
          <w:szCs w:val="32"/>
          <w:lang w:bidi="zh-CN"/>
        </w:rPr>
        <w:t>（一）</w:t>
      </w:r>
      <w:r>
        <w:rPr>
          <w:rFonts w:ascii="仿宋_GB2312" w:hAnsi="宋体" w:eastAsia="仿宋_GB2312"/>
          <w:b/>
          <w:bCs/>
          <w:sz w:val="32"/>
          <w:szCs w:val="32"/>
          <w:lang w:bidi="zh-CN"/>
        </w:rPr>
        <w:t>坚持勤征细管，着力提高财政收入质量。</w:t>
      </w:r>
      <w:r>
        <w:rPr>
          <w:rFonts w:ascii="仿宋_GB2312" w:hAnsi="宋体" w:eastAsia="仿宋_GB2312"/>
          <w:sz w:val="32"/>
          <w:szCs w:val="32"/>
          <w:lang w:bidi="zh-CN"/>
        </w:rPr>
        <w:t>严格落实组织收入责任，坚持依法征税、强化非税征管，做到应收尽收。</w:t>
      </w:r>
    </w:p>
    <w:p>
      <w:pPr>
        <w:adjustRightInd w:val="0"/>
        <w:snapToGrid w:val="0"/>
        <w:spacing w:line="640" w:lineRule="exact"/>
        <w:ind w:firstLine="643" w:firstLineChars="200"/>
        <w:jc w:val="left"/>
        <w:rPr>
          <w:rFonts w:ascii="仿宋_GB2312" w:hAnsi="宋体" w:eastAsia="仿宋_GB2312"/>
          <w:sz w:val="32"/>
          <w:szCs w:val="32"/>
          <w:lang w:bidi="zh-CN"/>
        </w:rPr>
      </w:pPr>
      <w:r>
        <w:rPr>
          <w:rFonts w:hint="eastAsia" w:ascii="仿宋_GB2312" w:hAnsi="宋体" w:eastAsia="仿宋_GB2312"/>
          <w:b/>
          <w:bCs/>
          <w:sz w:val="32"/>
          <w:szCs w:val="32"/>
          <w:lang w:bidi="zh-CN"/>
        </w:rPr>
        <w:t>（二）</w:t>
      </w:r>
      <w:r>
        <w:rPr>
          <w:rFonts w:ascii="仿宋_GB2312" w:hAnsi="宋体" w:eastAsia="仿宋_GB2312"/>
          <w:b/>
          <w:bCs/>
          <w:sz w:val="32"/>
          <w:szCs w:val="32"/>
          <w:lang w:bidi="zh-CN"/>
        </w:rPr>
        <w:t>优化支出结构，提高财政基本保障水平</w:t>
      </w:r>
      <w:r>
        <w:rPr>
          <w:rFonts w:ascii="仿宋_GB2312" w:hAnsi="宋体" w:eastAsia="仿宋_GB2312"/>
          <w:sz w:val="32"/>
          <w:szCs w:val="32"/>
          <w:lang w:bidi="zh-CN"/>
        </w:rPr>
        <w:t>。突出重点项目保障、持续加快财政支出进度，为做好“六稳”“六保”工作，特别是落实好“三保”工作、债务化解、产业发展和惠民惠农补贴发放等重点支出提供了坚强保障。全</w:t>
      </w:r>
      <w:r>
        <w:rPr>
          <w:rFonts w:hint="eastAsia" w:ascii="仿宋_GB2312" w:hAnsi="宋体" w:eastAsia="仿宋_GB2312"/>
          <w:sz w:val="32"/>
          <w:szCs w:val="32"/>
          <w:lang w:bidi="zh-CN"/>
        </w:rPr>
        <w:t>县</w:t>
      </w:r>
      <w:r>
        <w:rPr>
          <w:rFonts w:ascii="仿宋_GB2312" w:hAnsi="宋体" w:eastAsia="仿宋_GB2312"/>
          <w:sz w:val="32"/>
          <w:szCs w:val="32"/>
          <w:lang w:bidi="zh-CN"/>
        </w:rPr>
        <w:t>一般公共预算支出完成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30.06亿</w:t>
      </w:r>
      <w:r>
        <w:rPr>
          <w:rFonts w:hint="eastAsia" w:ascii="仿宋" w:hAnsi="仿宋" w:eastAsia="仿宋"/>
          <w:color w:val="000000"/>
          <w:sz w:val="32"/>
          <w:szCs w:val="32"/>
        </w:rPr>
        <w:t>元，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同比</w:t>
      </w:r>
      <w:r>
        <w:rPr>
          <w:rFonts w:hint="eastAsia" w:ascii="仿宋" w:hAnsi="仿宋" w:eastAsia="仿宋"/>
          <w:sz w:val="30"/>
          <w:szCs w:val="30"/>
        </w:rPr>
        <w:t>增加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1.47亿</w:t>
      </w:r>
      <w:r>
        <w:rPr>
          <w:rFonts w:hint="eastAsia" w:ascii="仿宋" w:hAnsi="仿宋" w:eastAsia="仿宋"/>
          <w:sz w:val="30"/>
          <w:szCs w:val="30"/>
        </w:rPr>
        <w:t>元，增长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5.14</w:t>
      </w:r>
      <w:r>
        <w:rPr>
          <w:rFonts w:hint="eastAsia" w:ascii="仿宋" w:hAnsi="仿宋" w:eastAsia="仿宋"/>
          <w:sz w:val="30"/>
          <w:szCs w:val="30"/>
        </w:rPr>
        <w:t>%</w:t>
      </w:r>
      <w:r>
        <w:rPr>
          <w:rFonts w:ascii="仿宋_GB2312" w:hAnsi="宋体" w:eastAsia="仿宋_GB2312"/>
          <w:sz w:val="32"/>
          <w:szCs w:val="32"/>
          <w:lang w:bidi="zh-CN"/>
        </w:rPr>
        <w:t>。</w:t>
      </w:r>
    </w:p>
    <w:p>
      <w:pPr>
        <w:adjustRightInd w:val="0"/>
        <w:snapToGrid w:val="0"/>
        <w:spacing w:line="640" w:lineRule="exact"/>
        <w:ind w:firstLine="643" w:firstLineChars="200"/>
        <w:jc w:val="left"/>
        <w:rPr>
          <w:rFonts w:ascii="仿宋_GB2312" w:hAnsi="宋体" w:eastAsia="仿宋_GB2312"/>
          <w:sz w:val="32"/>
          <w:szCs w:val="32"/>
          <w:lang w:bidi="zh-CN"/>
        </w:rPr>
      </w:pPr>
      <w:r>
        <w:rPr>
          <w:rFonts w:hint="eastAsia" w:ascii="仿宋_GB2312" w:hAnsi="宋体" w:eastAsia="仿宋_GB2312"/>
          <w:b/>
          <w:bCs/>
          <w:sz w:val="32"/>
          <w:szCs w:val="32"/>
          <w:lang w:bidi="zh-CN"/>
        </w:rPr>
        <w:t>（三）</w:t>
      </w:r>
      <w:r>
        <w:rPr>
          <w:rFonts w:ascii="仿宋_GB2312" w:hAnsi="宋体" w:eastAsia="仿宋_GB2312"/>
          <w:b/>
          <w:bCs/>
          <w:sz w:val="32"/>
          <w:szCs w:val="32"/>
          <w:lang w:bidi="zh-CN"/>
        </w:rPr>
        <w:t>坚持“一竿子插到底”，财政直达资金直接惠企利民。</w:t>
      </w:r>
      <w:r>
        <w:rPr>
          <w:rFonts w:ascii="仿宋_GB2312" w:hAnsi="宋体" w:eastAsia="仿宋_GB2312"/>
          <w:sz w:val="32"/>
          <w:szCs w:val="32"/>
          <w:lang w:bidi="zh-CN"/>
        </w:rPr>
        <w:t>按照“中央切块、省级细化、备案同意、快速直达”的要求，通过直达资金监控系统，强化直达资金使用管理，坚持财政直达资金直达基层直接惠企利民，全部用于“六稳”“六保”工作任务，助企纾困解难。202</w:t>
      </w:r>
      <w:r>
        <w:rPr>
          <w:rFonts w:hint="eastAsia" w:ascii="仿宋_GB2312" w:hAnsi="宋体" w:eastAsia="仿宋_GB2312"/>
          <w:sz w:val="32"/>
          <w:szCs w:val="32"/>
          <w:lang w:val="en-US" w:bidi="zh-CN"/>
        </w:rPr>
        <w:t>1</w:t>
      </w:r>
      <w:r>
        <w:rPr>
          <w:rFonts w:ascii="仿宋_GB2312" w:hAnsi="宋体" w:eastAsia="仿宋_GB2312"/>
          <w:sz w:val="32"/>
          <w:szCs w:val="32"/>
          <w:lang w:bidi="zh-CN"/>
        </w:rPr>
        <w:t>年中央、自治区下达</w:t>
      </w:r>
      <w:r>
        <w:rPr>
          <w:rFonts w:hint="eastAsia" w:ascii="仿宋_GB2312" w:hAnsi="宋体" w:eastAsia="仿宋_GB2312"/>
          <w:sz w:val="32"/>
          <w:szCs w:val="32"/>
          <w:lang w:bidi="zh-CN"/>
        </w:rPr>
        <w:t>泽普县</w:t>
      </w:r>
      <w:r>
        <w:rPr>
          <w:rFonts w:ascii="仿宋_GB2312" w:hAnsi="宋体" w:eastAsia="仿宋_GB2312"/>
          <w:sz w:val="32"/>
          <w:szCs w:val="32"/>
          <w:lang w:bidi="zh-CN"/>
        </w:rPr>
        <w:t>直达资金</w:t>
      </w:r>
      <w:r>
        <w:rPr>
          <w:rFonts w:hint="eastAsia" w:ascii="仿宋_GB2312" w:hAnsi="宋体" w:eastAsia="仿宋_GB2312"/>
          <w:sz w:val="32"/>
          <w:szCs w:val="32"/>
          <w:lang w:val="en-US" w:bidi="zh-CN"/>
        </w:rPr>
        <w:t>7.41</w:t>
      </w:r>
      <w:r>
        <w:rPr>
          <w:rFonts w:ascii="仿宋_GB2312" w:hAnsi="宋体" w:eastAsia="仿宋_GB2312"/>
          <w:sz w:val="32"/>
          <w:szCs w:val="32"/>
          <w:lang w:bidi="zh-CN"/>
        </w:rPr>
        <w:t>亿元，支出</w:t>
      </w:r>
      <w:r>
        <w:rPr>
          <w:rFonts w:hint="eastAsia" w:ascii="仿宋_GB2312" w:hAnsi="宋体" w:eastAsia="仿宋_GB2312"/>
          <w:sz w:val="32"/>
          <w:szCs w:val="32"/>
          <w:lang w:val="en-US" w:bidi="zh-CN"/>
        </w:rPr>
        <w:t>7.4</w:t>
      </w:r>
      <w:r>
        <w:rPr>
          <w:rFonts w:ascii="仿宋_GB2312" w:hAnsi="宋体" w:eastAsia="仿宋_GB2312"/>
          <w:sz w:val="32"/>
          <w:szCs w:val="32"/>
          <w:lang w:bidi="zh-CN"/>
        </w:rPr>
        <w:t>亿元，支出进度</w:t>
      </w:r>
      <w:r>
        <w:rPr>
          <w:rFonts w:hint="eastAsia" w:ascii="仿宋_GB2312" w:hAnsi="宋体" w:eastAsia="仿宋_GB2312"/>
          <w:sz w:val="32"/>
          <w:szCs w:val="32"/>
          <w:lang w:val="en-US" w:bidi="zh-CN"/>
        </w:rPr>
        <w:t>99.85</w:t>
      </w:r>
      <w:r>
        <w:rPr>
          <w:rFonts w:ascii="仿宋_GB2312" w:hAnsi="宋体" w:eastAsia="仿宋_GB2312"/>
          <w:sz w:val="32"/>
          <w:szCs w:val="32"/>
          <w:lang w:bidi="zh-CN"/>
        </w:rPr>
        <w:t>%，居全</w:t>
      </w:r>
      <w:r>
        <w:rPr>
          <w:rFonts w:hint="eastAsia" w:ascii="仿宋_GB2312" w:hAnsi="宋体" w:eastAsia="仿宋_GB2312"/>
          <w:sz w:val="32"/>
          <w:szCs w:val="32"/>
          <w:lang w:bidi="zh-CN"/>
        </w:rPr>
        <w:t>地区</w:t>
      </w:r>
      <w:r>
        <w:rPr>
          <w:rFonts w:ascii="仿宋_GB2312" w:hAnsi="宋体" w:eastAsia="仿宋_GB2312"/>
          <w:sz w:val="32"/>
          <w:szCs w:val="32"/>
          <w:lang w:bidi="zh-CN"/>
        </w:rPr>
        <w:t>前列。</w:t>
      </w:r>
    </w:p>
    <w:p>
      <w:pPr>
        <w:adjustRightInd w:val="0"/>
        <w:snapToGrid w:val="0"/>
        <w:spacing w:line="640" w:lineRule="exact"/>
        <w:ind w:firstLine="643" w:firstLineChars="200"/>
        <w:jc w:val="left"/>
        <w:rPr>
          <w:rFonts w:ascii="仿宋_GB2312" w:hAnsi="宋体" w:eastAsia="仿宋_GB2312"/>
          <w:sz w:val="32"/>
          <w:szCs w:val="32"/>
          <w:lang w:bidi="zh-CN"/>
        </w:rPr>
      </w:pPr>
      <w:r>
        <w:rPr>
          <w:rFonts w:hint="eastAsia" w:ascii="仿宋_GB2312" w:hAnsi="宋体" w:eastAsia="仿宋_GB2312"/>
          <w:b/>
          <w:bCs/>
          <w:sz w:val="32"/>
          <w:szCs w:val="32"/>
          <w:lang w:bidi="zh-CN"/>
        </w:rPr>
        <w:t>（四）</w:t>
      </w:r>
      <w:r>
        <w:rPr>
          <w:rFonts w:ascii="仿宋_GB2312" w:hAnsi="宋体" w:eastAsia="仿宋_GB2312"/>
          <w:b/>
          <w:bCs/>
          <w:sz w:val="32"/>
          <w:szCs w:val="32"/>
          <w:lang w:bidi="zh-CN"/>
        </w:rPr>
        <w:t>坚持“三保”优先，守住“三保”支出底线。</w:t>
      </w:r>
      <w:r>
        <w:rPr>
          <w:rFonts w:ascii="仿宋_GB2312" w:hAnsi="宋体" w:eastAsia="仿宋_GB2312"/>
          <w:sz w:val="32"/>
          <w:szCs w:val="32"/>
          <w:lang w:bidi="zh-CN"/>
        </w:rPr>
        <w:t>全力做好“三保”工作，牢牢压实支出责任，全</w:t>
      </w:r>
      <w:r>
        <w:rPr>
          <w:rFonts w:hint="eastAsia" w:ascii="仿宋_GB2312" w:hAnsi="宋体" w:eastAsia="仿宋_GB2312"/>
          <w:sz w:val="32"/>
          <w:szCs w:val="32"/>
          <w:lang w:bidi="zh-CN"/>
        </w:rPr>
        <w:t>县</w:t>
      </w:r>
      <w:r>
        <w:rPr>
          <w:rFonts w:ascii="仿宋_GB2312" w:hAnsi="宋体" w:eastAsia="仿宋_GB2312"/>
          <w:sz w:val="32"/>
          <w:szCs w:val="32"/>
          <w:lang w:bidi="zh-CN"/>
        </w:rPr>
        <w:t>基本人员支出、运转支出以及惠民惠农类补贴支出及时足额到位，全年无支出缺口。全</w:t>
      </w:r>
      <w:r>
        <w:rPr>
          <w:rFonts w:hint="eastAsia" w:ascii="仿宋_GB2312" w:hAnsi="宋体" w:eastAsia="仿宋_GB2312"/>
          <w:sz w:val="32"/>
          <w:szCs w:val="32"/>
          <w:lang w:bidi="zh-CN"/>
        </w:rPr>
        <w:t>县</w:t>
      </w:r>
      <w:r>
        <w:rPr>
          <w:rFonts w:ascii="仿宋_GB2312" w:hAnsi="宋体" w:eastAsia="仿宋_GB2312"/>
          <w:sz w:val="32"/>
          <w:szCs w:val="32"/>
          <w:lang w:bidi="zh-CN"/>
        </w:rPr>
        <w:t>累计“三保”支出</w:t>
      </w:r>
      <w:r>
        <w:rPr>
          <w:rFonts w:hint="eastAsia" w:ascii="仿宋_GB2312" w:hAnsi="宋体" w:eastAsia="仿宋_GB2312"/>
          <w:sz w:val="32"/>
          <w:szCs w:val="32"/>
          <w:lang w:val="en-US" w:bidi="zh-CN"/>
        </w:rPr>
        <w:t>19.54</w:t>
      </w:r>
      <w:r>
        <w:rPr>
          <w:rFonts w:ascii="仿宋_GB2312" w:hAnsi="宋体" w:eastAsia="仿宋_GB2312"/>
          <w:sz w:val="32"/>
          <w:szCs w:val="32"/>
          <w:lang w:bidi="zh-CN"/>
        </w:rPr>
        <w:t>亿元，占全</w:t>
      </w:r>
      <w:r>
        <w:rPr>
          <w:rFonts w:hint="eastAsia" w:ascii="仿宋_GB2312" w:hAnsi="宋体" w:eastAsia="仿宋_GB2312"/>
          <w:sz w:val="32"/>
          <w:szCs w:val="32"/>
          <w:lang w:bidi="zh-CN"/>
        </w:rPr>
        <w:t>县</w:t>
      </w:r>
      <w:r>
        <w:rPr>
          <w:rFonts w:ascii="仿宋_GB2312" w:hAnsi="宋体" w:eastAsia="仿宋_GB2312"/>
          <w:sz w:val="32"/>
          <w:szCs w:val="32"/>
          <w:lang w:bidi="zh-CN"/>
        </w:rPr>
        <w:t>一般公共预算支出的</w:t>
      </w:r>
      <w:r>
        <w:rPr>
          <w:rFonts w:hint="eastAsia" w:ascii="仿宋_GB2312" w:hAnsi="宋体" w:eastAsia="仿宋_GB2312"/>
          <w:sz w:val="32"/>
          <w:szCs w:val="32"/>
          <w:lang w:val="en-US" w:bidi="zh-CN"/>
        </w:rPr>
        <w:t>65</w:t>
      </w:r>
      <w:r>
        <w:rPr>
          <w:rFonts w:ascii="仿宋_GB2312" w:hAnsi="宋体" w:eastAsia="仿宋_GB2312"/>
          <w:sz w:val="32"/>
          <w:szCs w:val="32"/>
          <w:lang w:bidi="zh-CN"/>
        </w:rPr>
        <w:t>%，其中：工资性支出</w:t>
      </w:r>
      <w:r>
        <w:rPr>
          <w:rFonts w:hint="eastAsia" w:ascii="仿宋_GB2312" w:hAnsi="宋体" w:eastAsia="仿宋_GB2312"/>
          <w:sz w:val="32"/>
          <w:szCs w:val="32"/>
          <w:lang w:val="en-US" w:bidi="zh-CN"/>
        </w:rPr>
        <w:t>10.22</w:t>
      </w:r>
      <w:r>
        <w:rPr>
          <w:rFonts w:ascii="仿宋_GB2312" w:hAnsi="宋体" w:eastAsia="仿宋_GB2312"/>
          <w:sz w:val="32"/>
          <w:szCs w:val="32"/>
          <w:lang w:bidi="zh-CN"/>
        </w:rPr>
        <w:t>亿元，机关事业单位运转支出</w:t>
      </w:r>
      <w:r>
        <w:rPr>
          <w:rFonts w:hint="eastAsia" w:ascii="仿宋_GB2312" w:hAnsi="宋体" w:eastAsia="仿宋_GB2312"/>
          <w:sz w:val="32"/>
          <w:szCs w:val="32"/>
          <w:lang w:val="en-US" w:bidi="zh-CN"/>
        </w:rPr>
        <w:t>0.4</w:t>
      </w:r>
      <w:r>
        <w:rPr>
          <w:rFonts w:ascii="仿宋_GB2312" w:hAnsi="宋体" w:eastAsia="仿宋_GB2312"/>
          <w:sz w:val="32"/>
          <w:szCs w:val="32"/>
          <w:lang w:bidi="zh-CN"/>
        </w:rPr>
        <w:t>亿元，其他民生支出</w:t>
      </w:r>
      <w:r>
        <w:rPr>
          <w:rFonts w:hint="eastAsia" w:ascii="仿宋_GB2312" w:hAnsi="宋体" w:eastAsia="仿宋_GB2312"/>
          <w:sz w:val="32"/>
          <w:szCs w:val="32"/>
          <w:lang w:val="en-US" w:bidi="zh-CN"/>
        </w:rPr>
        <w:t>8.92</w:t>
      </w:r>
      <w:r>
        <w:rPr>
          <w:rFonts w:ascii="仿宋_GB2312" w:hAnsi="宋体" w:eastAsia="仿宋_GB2312"/>
          <w:sz w:val="32"/>
          <w:szCs w:val="32"/>
          <w:lang w:bidi="zh-CN"/>
        </w:rPr>
        <w:t>亿元。</w:t>
      </w:r>
    </w:p>
    <w:p>
      <w:pPr>
        <w:adjustRightInd w:val="0"/>
        <w:snapToGrid w:val="0"/>
        <w:spacing w:line="640" w:lineRule="exact"/>
        <w:ind w:firstLine="643" w:firstLineChars="200"/>
        <w:jc w:val="left"/>
        <w:rPr>
          <w:rFonts w:ascii="仿宋_GB2312" w:hAnsi="宋体" w:eastAsia="仿宋_GB2312"/>
          <w:sz w:val="32"/>
          <w:szCs w:val="32"/>
          <w:lang w:bidi="zh-CN"/>
        </w:rPr>
      </w:pPr>
      <w:r>
        <w:rPr>
          <w:rFonts w:hint="eastAsia" w:ascii="仿宋_GB2312" w:hAnsi="宋体" w:eastAsia="仿宋_GB2312"/>
          <w:b/>
          <w:bCs/>
          <w:sz w:val="32"/>
          <w:szCs w:val="32"/>
          <w:lang w:bidi="zh-CN"/>
        </w:rPr>
        <w:t>（五）</w:t>
      </w:r>
      <w:r>
        <w:rPr>
          <w:rFonts w:ascii="仿宋_GB2312" w:hAnsi="宋体" w:eastAsia="仿宋_GB2312"/>
          <w:b/>
          <w:bCs/>
          <w:sz w:val="32"/>
          <w:szCs w:val="32"/>
          <w:lang w:bidi="zh-CN"/>
        </w:rPr>
        <w:t>坚持人民为中心，加大民生领域投入力度。</w:t>
      </w:r>
      <w:r>
        <w:rPr>
          <w:rFonts w:ascii="仿宋_GB2312" w:hAnsi="宋体" w:eastAsia="仿宋_GB2312"/>
          <w:sz w:val="32"/>
          <w:szCs w:val="32"/>
          <w:lang w:bidi="zh-CN"/>
        </w:rPr>
        <w:t>一是坚持把财政支出的80%以上用于保障和改善民生，202</w:t>
      </w:r>
      <w:r>
        <w:rPr>
          <w:rFonts w:hint="eastAsia" w:ascii="仿宋_GB2312" w:hAnsi="宋体" w:eastAsia="仿宋_GB2312"/>
          <w:sz w:val="32"/>
          <w:szCs w:val="32"/>
          <w:lang w:val="en-US" w:bidi="zh-CN"/>
        </w:rPr>
        <w:t>1</w:t>
      </w:r>
      <w:r>
        <w:rPr>
          <w:rFonts w:ascii="仿宋_GB2312" w:hAnsi="宋体" w:eastAsia="仿宋_GB2312"/>
          <w:sz w:val="32"/>
          <w:szCs w:val="32"/>
          <w:lang w:bidi="zh-CN"/>
        </w:rPr>
        <w:t>年用于民生领域的支出占一般公共预算支出的比例达</w:t>
      </w:r>
      <w:r>
        <w:rPr>
          <w:rFonts w:hint="eastAsia" w:ascii="仿宋_GB2312" w:hAnsi="宋体" w:eastAsia="仿宋_GB2312"/>
          <w:sz w:val="32"/>
          <w:szCs w:val="32"/>
          <w:lang w:val="en-US" w:bidi="zh-CN"/>
        </w:rPr>
        <w:t>80.5</w:t>
      </w:r>
      <w:r>
        <w:rPr>
          <w:rFonts w:ascii="仿宋_GB2312" w:hAnsi="宋体" w:eastAsia="仿宋_GB2312"/>
          <w:sz w:val="32"/>
          <w:szCs w:val="32"/>
          <w:lang w:bidi="zh-CN"/>
        </w:rPr>
        <w:t>%，让稳定红利、发展成效更多惠及各族群众。二是坚持强化惠民惠农补贴资金监管，紧紧围绕“5+1+2”工作任务，规范发放补贴资金，202</w:t>
      </w:r>
      <w:r>
        <w:rPr>
          <w:rFonts w:hint="eastAsia" w:ascii="仿宋_GB2312" w:hAnsi="宋体" w:eastAsia="仿宋_GB2312"/>
          <w:sz w:val="32"/>
          <w:szCs w:val="32"/>
          <w:lang w:val="en-US" w:bidi="zh-CN"/>
        </w:rPr>
        <w:t>1</w:t>
      </w:r>
      <w:r>
        <w:rPr>
          <w:rFonts w:ascii="仿宋_GB2312" w:hAnsi="宋体" w:eastAsia="仿宋_GB2312"/>
          <w:sz w:val="32"/>
          <w:szCs w:val="32"/>
          <w:lang w:bidi="zh-CN"/>
        </w:rPr>
        <w:t>年发放中央、自治区</w:t>
      </w:r>
      <w:r>
        <w:rPr>
          <w:rFonts w:hint="eastAsia" w:ascii="仿宋_GB2312" w:hAnsi="宋体" w:eastAsia="仿宋_GB2312"/>
          <w:sz w:val="32"/>
          <w:szCs w:val="32"/>
          <w:lang w:val="en-US" w:bidi="zh-CN"/>
        </w:rPr>
        <w:t>16</w:t>
      </w:r>
      <w:r>
        <w:rPr>
          <w:rFonts w:ascii="仿宋_GB2312" w:hAnsi="宋体" w:eastAsia="仿宋_GB2312"/>
          <w:sz w:val="32"/>
          <w:szCs w:val="32"/>
          <w:lang w:bidi="zh-CN"/>
        </w:rPr>
        <w:t>项惠民惠农补贴资金</w:t>
      </w:r>
      <w:r>
        <w:rPr>
          <w:rFonts w:hint="eastAsia" w:ascii="仿宋_GB2312" w:hAnsi="宋体" w:eastAsia="仿宋_GB2312"/>
          <w:sz w:val="32"/>
          <w:szCs w:val="32"/>
          <w:lang w:val="en-US" w:bidi="zh-CN"/>
        </w:rPr>
        <w:t>3.10</w:t>
      </w:r>
      <w:r>
        <w:rPr>
          <w:rFonts w:ascii="仿宋_GB2312" w:hAnsi="宋体" w:eastAsia="仿宋_GB2312"/>
          <w:sz w:val="32"/>
          <w:szCs w:val="32"/>
          <w:lang w:bidi="zh-CN"/>
        </w:rPr>
        <w:t>亿元，惠及群众</w:t>
      </w:r>
      <w:r>
        <w:rPr>
          <w:rFonts w:hint="eastAsia" w:ascii="仿宋_GB2312" w:hAnsi="宋体" w:eastAsia="仿宋_GB2312"/>
          <w:sz w:val="32"/>
          <w:szCs w:val="32"/>
          <w:lang w:val="en-US" w:bidi="zh-CN"/>
        </w:rPr>
        <w:t>20</w:t>
      </w:r>
      <w:r>
        <w:rPr>
          <w:rFonts w:ascii="仿宋_GB2312" w:hAnsi="宋体" w:eastAsia="仿宋_GB2312"/>
          <w:sz w:val="32"/>
          <w:szCs w:val="32"/>
          <w:lang w:bidi="zh-CN"/>
        </w:rPr>
        <w:t>余万人，人民群众获得感幸福感安全感不断提升。</w:t>
      </w:r>
    </w:p>
    <w:p>
      <w:pPr>
        <w:adjustRightInd w:val="0"/>
        <w:snapToGrid w:val="0"/>
        <w:spacing w:line="640" w:lineRule="exact"/>
        <w:ind w:firstLine="643" w:firstLineChars="200"/>
        <w:jc w:val="left"/>
        <w:rPr>
          <w:rFonts w:ascii="仿宋_GB2312" w:hAnsi="宋体" w:eastAsia="仿宋_GB2312"/>
          <w:b/>
          <w:bCs/>
          <w:sz w:val="32"/>
          <w:szCs w:val="32"/>
          <w:lang w:bidi="zh-CN"/>
        </w:rPr>
      </w:pPr>
      <w:r>
        <w:rPr>
          <w:rFonts w:ascii="仿宋_GB2312" w:hAnsi="宋体" w:eastAsia="仿宋_GB2312"/>
          <w:b/>
          <w:bCs/>
          <w:sz w:val="32"/>
          <w:szCs w:val="32"/>
          <w:lang w:bidi="zh-CN"/>
        </w:rPr>
        <w:t>（</w:t>
      </w:r>
      <w:r>
        <w:rPr>
          <w:rFonts w:hint="eastAsia" w:ascii="仿宋_GB2312" w:hAnsi="宋体" w:eastAsia="仿宋_GB2312"/>
          <w:b/>
          <w:bCs/>
          <w:sz w:val="32"/>
          <w:szCs w:val="32"/>
          <w:lang w:bidi="zh-CN"/>
        </w:rPr>
        <w:t>六</w:t>
      </w:r>
      <w:r>
        <w:rPr>
          <w:rFonts w:ascii="仿宋_GB2312" w:hAnsi="宋体" w:eastAsia="仿宋_GB2312"/>
          <w:b/>
          <w:bCs/>
          <w:sz w:val="32"/>
          <w:szCs w:val="32"/>
          <w:lang w:bidi="zh-CN"/>
        </w:rPr>
        <w:t>）坚持深化改革，着力推进财税体制改革</w:t>
      </w:r>
    </w:p>
    <w:p>
      <w:pPr>
        <w:adjustRightInd w:val="0"/>
        <w:snapToGrid w:val="0"/>
        <w:spacing w:line="640" w:lineRule="exact"/>
        <w:ind w:firstLine="640" w:firstLineChars="200"/>
        <w:jc w:val="left"/>
        <w:rPr>
          <w:rFonts w:ascii="仿宋_GB2312" w:hAnsi="宋体" w:eastAsia="仿宋_GB2312"/>
          <w:sz w:val="32"/>
          <w:szCs w:val="32"/>
          <w:lang w:bidi="zh-CN"/>
        </w:rPr>
      </w:pPr>
      <w:r>
        <w:rPr>
          <w:rFonts w:ascii="仿宋_GB2312" w:hAnsi="宋体" w:eastAsia="仿宋_GB2312"/>
          <w:sz w:val="32"/>
          <w:szCs w:val="32"/>
          <w:lang w:bidi="zh-CN"/>
        </w:rPr>
        <w:t>1</w:t>
      </w:r>
      <w:r>
        <w:rPr>
          <w:rFonts w:ascii="仿宋_GB2312" w:hAnsi="宋体" w:eastAsia="仿宋_GB2312"/>
          <w:b/>
          <w:bCs/>
          <w:sz w:val="32"/>
          <w:szCs w:val="32"/>
          <w:lang w:bidi="zh-CN"/>
        </w:rPr>
        <w:t>.坚持依法理财，财政治理能力不断提升。</w:t>
      </w:r>
      <w:r>
        <w:rPr>
          <w:rFonts w:ascii="仿宋_GB2312" w:hAnsi="宋体" w:eastAsia="仿宋_GB2312"/>
          <w:sz w:val="32"/>
          <w:szCs w:val="32"/>
          <w:lang w:bidi="zh-CN"/>
        </w:rPr>
        <w:t>坚持发挥法治引领、规范和保障作用，将《预算法》《政府采购法》《预算法实施条例》等法律法规、财经纪律作为开展财政工作的基本遵循，依法行政、依法理财的意识不断增强。</w:t>
      </w:r>
    </w:p>
    <w:p>
      <w:pPr>
        <w:adjustRightInd w:val="0"/>
        <w:snapToGrid w:val="0"/>
        <w:spacing w:line="640" w:lineRule="exact"/>
        <w:ind w:firstLine="640" w:firstLineChars="200"/>
        <w:jc w:val="left"/>
        <w:rPr>
          <w:rFonts w:ascii="仿宋_GB2312" w:hAnsi="宋体" w:eastAsia="仿宋_GB2312"/>
          <w:sz w:val="32"/>
          <w:szCs w:val="32"/>
          <w:lang w:bidi="zh-CN"/>
        </w:rPr>
      </w:pPr>
      <w:r>
        <w:rPr>
          <w:rFonts w:ascii="仿宋_GB2312" w:hAnsi="宋体" w:eastAsia="仿宋_GB2312"/>
          <w:sz w:val="32"/>
          <w:szCs w:val="32"/>
          <w:lang w:bidi="zh-CN"/>
        </w:rPr>
        <w:t>2</w:t>
      </w:r>
      <w:r>
        <w:rPr>
          <w:rFonts w:ascii="仿宋_GB2312" w:hAnsi="宋体" w:eastAsia="仿宋_GB2312"/>
          <w:b/>
          <w:bCs/>
          <w:sz w:val="32"/>
          <w:szCs w:val="32"/>
          <w:lang w:bidi="zh-CN"/>
        </w:rPr>
        <w:t>.完善管理机制，预算管理水平不断提升。</w:t>
      </w:r>
      <w:r>
        <w:rPr>
          <w:rFonts w:ascii="仿宋_GB2312" w:hAnsi="宋体" w:eastAsia="仿宋_GB2312"/>
          <w:sz w:val="32"/>
          <w:szCs w:val="32"/>
          <w:lang w:bidi="zh-CN"/>
        </w:rPr>
        <w:t>完善全口径政府预算体系，完整编制一般公共预算、政府性基金预算、社保基金预算、国有资本经营预算“四本预算”，规范编制部门支出预算。加强财政资金统筹使用，加大对政府性基金预算和国有资本经营预算的统筹力度。严格预算结转结余管理，积极盘活财政存量资金。全面公开预决算，提高预算透明度。</w:t>
      </w:r>
    </w:p>
    <w:p>
      <w:pPr>
        <w:adjustRightInd w:val="0"/>
        <w:snapToGrid w:val="0"/>
        <w:spacing w:line="640" w:lineRule="exact"/>
        <w:ind w:firstLine="643" w:firstLineChars="200"/>
        <w:jc w:val="left"/>
        <w:rPr>
          <w:rFonts w:ascii="仿宋_GB2312" w:hAnsi="宋体" w:eastAsia="仿宋_GB2312"/>
          <w:sz w:val="32"/>
          <w:szCs w:val="32"/>
          <w:lang w:bidi="zh-CN"/>
        </w:rPr>
      </w:pPr>
      <w:r>
        <w:rPr>
          <w:rFonts w:ascii="仿宋_GB2312" w:hAnsi="宋体" w:eastAsia="仿宋_GB2312"/>
          <w:b/>
          <w:bCs/>
          <w:sz w:val="32"/>
          <w:szCs w:val="32"/>
          <w:lang w:bidi="zh-CN"/>
        </w:rPr>
        <w:t>3.推进预算管理和绩效管理融合发展</w:t>
      </w:r>
      <w:r>
        <w:rPr>
          <w:rFonts w:ascii="仿宋_GB2312" w:hAnsi="宋体" w:eastAsia="仿宋_GB2312"/>
          <w:sz w:val="32"/>
          <w:szCs w:val="32"/>
          <w:lang w:bidi="zh-CN"/>
        </w:rPr>
        <w:t>。将绩效理念和方法融入预算编制、执行与监督的全过程，推进绩效指标体系建设，完善预算绩效管理考核，构建全方位预算绩效管理格局。</w:t>
      </w:r>
    </w:p>
    <w:p>
      <w:pPr>
        <w:adjustRightInd w:val="0"/>
        <w:snapToGrid w:val="0"/>
        <w:spacing w:line="640" w:lineRule="exact"/>
        <w:ind w:firstLine="643" w:firstLineChars="200"/>
        <w:jc w:val="left"/>
        <w:rPr>
          <w:rFonts w:ascii="仿宋_GB2312" w:hAnsi="宋体" w:eastAsia="仿宋_GB2312"/>
          <w:sz w:val="32"/>
          <w:szCs w:val="32"/>
          <w:lang w:bidi="zh-CN"/>
        </w:rPr>
      </w:pPr>
      <w:r>
        <w:rPr>
          <w:rFonts w:ascii="仿宋_GB2312" w:hAnsi="宋体" w:eastAsia="仿宋_GB2312"/>
          <w:b/>
          <w:bCs/>
          <w:sz w:val="32"/>
          <w:szCs w:val="32"/>
          <w:lang w:bidi="zh-CN"/>
        </w:rPr>
        <w:t>4.强化监督管理，财政资金使用安全有效。</w:t>
      </w:r>
      <w:r>
        <w:rPr>
          <w:rFonts w:ascii="仿宋_GB2312" w:hAnsi="宋体" w:eastAsia="仿宋_GB2312"/>
          <w:sz w:val="32"/>
          <w:szCs w:val="32"/>
          <w:lang w:bidi="zh-CN"/>
        </w:rPr>
        <w:t>落实人大预算联网监督机制，自觉接受预算决算审查监督。配合国家、自治区、地区审计部门做好专项审计检查，及时全面完成审计查出问题的整改工作。完善内部控制，加强财政系统监督，从资金安排到使用绩效进行全过程闭环监管，确保财政资金安全有效。</w:t>
      </w:r>
    </w:p>
    <w:p>
      <w:pPr>
        <w:pStyle w:val="2"/>
      </w:pPr>
    </w:p>
    <w:p>
      <w:pPr>
        <w:adjustRightInd w:val="0"/>
        <w:snapToGrid w:val="0"/>
        <w:spacing w:line="640" w:lineRule="exact"/>
        <w:ind w:firstLine="640" w:firstLineChars="200"/>
        <w:jc w:val="left"/>
      </w:pPr>
      <w:r>
        <w:rPr>
          <w:rFonts w:ascii="仿宋_GB2312" w:hAnsi="宋体" w:eastAsia="仿宋_GB2312"/>
          <w:sz w:val="32"/>
          <w:szCs w:val="32"/>
          <w:lang w:bidi="zh-CN"/>
        </w:rPr>
        <w:t>当前和今后一个时期，应对机遇和挑战的新变化，做好202</w:t>
      </w:r>
      <w:r>
        <w:rPr>
          <w:rFonts w:hint="eastAsia" w:ascii="仿宋_GB2312" w:hAnsi="宋体" w:eastAsia="仿宋_GB2312"/>
          <w:sz w:val="32"/>
          <w:szCs w:val="32"/>
          <w:lang w:val="en-US" w:bidi="zh-CN"/>
        </w:rPr>
        <w:t>2</w:t>
      </w:r>
      <w:r>
        <w:rPr>
          <w:rFonts w:ascii="仿宋_GB2312" w:hAnsi="宋体" w:eastAsia="仿宋_GB2312"/>
          <w:sz w:val="32"/>
          <w:szCs w:val="32"/>
          <w:lang w:bidi="zh-CN"/>
        </w:rPr>
        <w:t>年财政收支预算工作任务艰巨繁重，财政部门将在</w:t>
      </w:r>
      <w:r>
        <w:rPr>
          <w:rFonts w:hint="eastAsia" w:ascii="仿宋_GB2312" w:hAnsi="宋体" w:eastAsia="仿宋_GB2312"/>
          <w:sz w:val="32"/>
          <w:szCs w:val="32"/>
          <w:lang w:bidi="zh-CN"/>
        </w:rPr>
        <w:t>县</w:t>
      </w:r>
      <w:r>
        <w:rPr>
          <w:rFonts w:ascii="仿宋_GB2312" w:hAnsi="宋体" w:eastAsia="仿宋_GB2312"/>
          <w:sz w:val="32"/>
          <w:szCs w:val="32"/>
          <w:lang w:bidi="zh-CN"/>
        </w:rPr>
        <w:t>委</w:t>
      </w:r>
      <w:r>
        <w:rPr>
          <w:rFonts w:hint="eastAsia" w:ascii="仿宋_GB2312" w:hAnsi="宋体" w:eastAsia="仿宋_GB2312"/>
          <w:sz w:val="32"/>
          <w:szCs w:val="32"/>
          <w:lang w:bidi="zh-CN"/>
        </w:rPr>
        <w:t>、政府</w:t>
      </w:r>
      <w:r>
        <w:rPr>
          <w:rFonts w:ascii="仿宋_GB2312" w:hAnsi="宋体" w:eastAsia="仿宋_GB2312"/>
          <w:sz w:val="32"/>
          <w:szCs w:val="32"/>
          <w:lang w:bidi="zh-CN"/>
        </w:rPr>
        <w:t>的坚强领导下，自觉接受</w:t>
      </w:r>
      <w:r>
        <w:rPr>
          <w:rFonts w:hint="eastAsia" w:ascii="仿宋_GB2312" w:hAnsi="宋体" w:eastAsia="仿宋_GB2312"/>
          <w:sz w:val="32"/>
          <w:szCs w:val="32"/>
          <w:lang w:bidi="zh-CN"/>
        </w:rPr>
        <w:t>县</w:t>
      </w:r>
      <w:r>
        <w:rPr>
          <w:rFonts w:ascii="仿宋_GB2312" w:hAnsi="宋体" w:eastAsia="仿宋_GB2312"/>
          <w:sz w:val="32"/>
          <w:szCs w:val="32"/>
          <w:lang w:bidi="zh-CN"/>
        </w:rPr>
        <w:t>人大的指导监督，虚心听取人大的意见建议，凝聚全</w:t>
      </w:r>
      <w:r>
        <w:rPr>
          <w:rFonts w:hint="eastAsia" w:ascii="仿宋_GB2312" w:hAnsi="宋体" w:eastAsia="仿宋_GB2312"/>
          <w:sz w:val="32"/>
          <w:szCs w:val="32"/>
          <w:lang w:bidi="zh-CN"/>
        </w:rPr>
        <w:t>县</w:t>
      </w:r>
      <w:r>
        <w:rPr>
          <w:rFonts w:ascii="仿宋_GB2312" w:hAnsi="宋体" w:eastAsia="仿宋_GB2312"/>
          <w:sz w:val="32"/>
          <w:szCs w:val="32"/>
          <w:lang w:bidi="zh-CN"/>
        </w:rPr>
        <w:t>各族人民的智慧和力量，树牢底线思维，抓住机遇、应对挑战，真抓实干、攻坚克难，在新时代财政改革发展工作中取得新气象新作为，为</w:t>
      </w:r>
      <w:r>
        <w:rPr>
          <w:rFonts w:hint="eastAsia" w:ascii="仿宋_GB2312" w:hAnsi="宋体" w:eastAsia="仿宋_GB2312"/>
          <w:sz w:val="32"/>
          <w:szCs w:val="32"/>
          <w:lang w:bidi="zh-CN"/>
        </w:rPr>
        <w:t>全县</w:t>
      </w:r>
      <w:r>
        <w:rPr>
          <w:rFonts w:ascii="仿宋_GB2312" w:hAnsi="宋体" w:eastAsia="仿宋_GB2312"/>
          <w:sz w:val="32"/>
          <w:szCs w:val="32"/>
          <w:lang w:bidi="zh-CN"/>
        </w:rPr>
        <w:t>社会大局稳定和经济高质量发展贡献坚实财政支撑。</w:t>
      </w:r>
    </w:p>
    <w:sectPr>
      <w:headerReference r:id="rId3" w:type="default"/>
      <w:footerReference r:id="rId5" w:type="default"/>
      <w:headerReference r:id="rId4" w:type="even"/>
      <w:footerReference r:id="rId6" w:type="even"/>
      <w:footnotePr>
        <w:numFmt w:val="decimalHalfWidth"/>
      </w:footnotePr>
      <w:endnotePr>
        <w:numFmt w:val="chineseCounting"/>
      </w:endnotePr>
      <w:pgSz w:w="11905" w:h="16837"/>
      <w:pgMar w:top="1304" w:right="1418" w:bottom="1304" w:left="1418" w:header="567" w:footer="567" w:gutter="0"/>
      <w:pgNumType w:start="1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" w:lineRule="atLeast"/>
    </w:pPr>
    <w:r>
      <w:pict>
        <v:shape id="_x0000_s1025" o:spid="_x0000_s1025" o:spt="202" type="#_x0000_t202" style="height:42.5pt;width:453.5pt;" filled="f" stroked="f" coordsize="21600,21600" o:gfxdata="UEsDBAoAAAAAAIdO4kAAAAAAAAAAAAAAAAAEAAAAZHJzL1BLAwQUAAAACACHTuJAHjxxZNQAAAAE&#10;AQAADwAAAGRycy9kb3ducmV2LnhtbE2PzU7DMBCE70i8g7VI3KhdJEob4lQVghMSIk0PHJ14m1iN&#10;12ns/vD2LFzay0ijWc18my/PvhdHHKMLpGE6USCQmmAdtRo21fvDHERMhqzpA6GGH4ywLG5vcpPZ&#10;cKISj+vUCi6hmBkNXUpDJmVsOvQmTsKAxNk2jN4ktmMr7WhOXO57+ajUTHrjiBc6M+Brh81uffAa&#10;Vt9Uvrn9Z/1VbktXVQtFH7Od1vd3U/UCIuE5XY7hD5/RoWCmOhzIRtFr4EfSv3K2UM9saw3zJwWy&#10;yOU1fPELUEsDBBQAAAAIAIdO4kAB2G5RuAEAAFADAAAOAAAAZHJzL2Uyb0RvYy54bWytU81u1DAQ&#10;viPxDpbv3eymhLLRZitVVRFSBYjCA3gdZ2PV9lged5N9AXgDTly497n2ORh7f1rghrg44/n5PN83&#10;k8XlaA3bqIAaXMNnkylnyklotVs3/Mvnm7M3nGEUrhUGnGr4ViG/XL58sRh8rUrowbQqMAJxWA++&#10;4X2Mvi4KlL2yAifglaNgB8GKSNewLtogBkK3piin09fFAKH1AaRCJO/1PsiXGb/rlIwfug5VZKbh&#10;1FvMZ8jnKp3FciHqdRC+1/LQhviHLqzQjh49QV2LKNhD0H9BWS0DIHRxIsEW0HVaqsyB2Mymf7C5&#10;64VXmQuJg/4kE/4/WPl+8zEw3Ta85MwJSyPaff+2+/G4+/mVlUmewWNNWXee8uJ4BSONOVNFfwvy&#10;HpmDT0C6zlJy8Sx7X4pUl4QZu2DTlygzgqBZbE/6qzEySc7qopq/qigkKVadzy/ITqBP1T5gfKvA&#10;smQ0PNB8cy9ic4txn3pMSY85uNHGkF/UxrGh4fOqrHLBKULgxh0a3/eaKMRxNVJZMlfQbom6eedI&#10;9rRCRyMcjdXRePBBr/vftKCxZQKHFUt78fyeH376EZa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B48cWTUAAAABAEAAA8AAAAAAAAAAQAgAAAAIgAAAGRycy9kb3ducmV2LnhtbFBLAQIUABQAAAAI&#10;AIdO4kAB2G5RuAEAAFADAAAOAAAAAAAAAAEAIAAAACMBAABkcnMvZTJvRG9jLnhtbFBLBQYAAAAA&#10;BgAGAFkBAABNBQAAAAA=&#10;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line="334" w:lineRule="atLeast"/>
                  <w:jc w:val="center"/>
                </w:pPr>
                <w:r>
                  <w:rPr>
                    <w:rFonts w:hint="eastAsia"/>
                  </w:rPr>
                  <w:t>-</w:t>
                </w: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\* Arabic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  <w:r>
                  <w:rPr>
                    <w:rFonts w:hint="eastAsia"/>
                  </w:rPr>
                  <w:t>-</w:t>
                </w:r>
              </w:p>
            </w:txbxContent>
          </v:textbox>
          <w10:wrap type="none"/>
          <w10:anchorlock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" w:lineRule="atLeast"/>
    </w:pPr>
    <w:r>
      <w:pict>
        <v:shape id="_x0000_s1026" o:spid="_x0000_s1026" o:spt="202" type="#_x0000_t202" style="height:42.5pt;width:453.5pt;" filled="f" stroked="f" coordsize="21600,21600" o:gfxdata="UEsDBAoAAAAAAIdO4kAAAAAAAAAAAAAAAAAEAAAAZHJzL1BLAwQUAAAACACHTuJAHjxxZNQAAAAE&#10;AQAADwAAAGRycy9kb3ducmV2LnhtbE2PzU7DMBCE70i8g7VI3KhdJEob4lQVghMSIk0PHJ14m1iN&#10;12ns/vD2LFzay0ijWc18my/PvhdHHKMLpGE6USCQmmAdtRo21fvDHERMhqzpA6GGH4ywLG5vcpPZ&#10;cKISj+vUCi6hmBkNXUpDJmVsOvQmTsKAxNk2jN4ktmMr7WhOXO57+ajUTHrjiBc6M+Brh81uffAa&#10;Vt9Uvrn9Z/1VbktXVQtFH7Od1vd3U/UCIuE5XY7hD5/RoWCmOhzIRtFr4EfSv3K2UM9saw3zJwWy&#10;yOU1fPELUEsDBBQAAAAIAIdO4kDLeA9EuAEAAFADAAAOAAAAZHJzL2Uyb0RvYy54bWytU0tu2zAQ&#10;3RfIHQjuY9mu1dSC5QBFkCBA0BZNewCaoiyiJIfgMJZ8gfYGXXXTfc/lc3RIf/LpruiGGs7ncd6b&#10;0eJysIZtVEANruaT0Zgz5SQ02q1r/uXz9flbzjAK1wgDTtV8q5BfLs9eLXpfqSl0YBoVGIE4rHpf&#10;8y5GXxUFyk5ZgSPwylGwhWBFpGtYF00QPaFbU0zH4zdFD6HxAaRCJO/VPsiXGb9tlYwf2hZVZKbm&#10;1FvMZ8jnKp3FciGqdRC+0/LQhviHLqzQjh49QV2JKNhD0H9BWS0DILRxJMEW0LZaqsyB2EzGL9jc&#10;d8KrzIXEQX+SCf8frHy/+RiYbmo+48wJSyPa/fi++/l79+sbmyV5eo8VZd17yovDOxhozJkq+juQ&#10;X5E5+ASk6yQlF0+y96VIdUmYoQ02fYkyIwiaxfakvxoik+QsL8r5rKSQpFj5en5BdgJ9rPYB440C&#10;y5JR80Dzzb2IzR3GfeoxJT3m4FobQ35RGcf6ms/LaZkLThECN+7Q+L7XRCEOq4HKkrmCZkvUza0j&#10;2dMKHY1wNFZH48EHve6eaUFjywQOK5b24uk9P/z4Iyz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B48cWTUAAAABAEAAA8AAAAAAAAAAQAgAAAAIgAAAGRycy9kb3ducmV2LnhtbFBLAQIUABQAAAAI&#10;AIdO4kDLeA9EuAEAAFADAAAOAAAAAAAAAAEAIAAAACMBAABkcnMvZTJvRG9jLnhtbFBLBQYAAAAA&#10;BgAGAFkBAABNBQAAAAA=&#10;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line="334" w:lineRule="atLeast"/>
                  <w:jc w:val="center"/>
                </w:pPr>
                <w:r>
                  <w:rPr>
                    <w:rFonts w:hint="eastAsia"/>
                  </w:rPr>
                  <w:t>-</w:t>
                </w: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\* Arabic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2</w:t>
                </w:r>
                <w:r>
                  <w:rPr>
                    <w:rFonts w:hint="eastAsia"/>
                  </w:rPr>
                  <w:fldChar w:fldCharType="end"/>
                </w:r>
                <w:r>
                  <w:rPr>
                    <w:rFonts w:hint="eastAsia"/>
                  </w:rPr>
                  <w:t>-</w:t>
                </w:r>
              </w:p>
            </w:txbxContent>
          </v:textbox>
          <w10:wrap type="none"/>
          <w10:anchorlock/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" w:lineRule="atLeast"/>
    </w:pPr>
    <w:r>
      <w:pict>
        <v:shape id="_x0000_s1027" o:spid="_x0000_s1027" o:spt="202" type="#_x0000_t202" style="height:42.5pt;width:453.5pt;" filled="f" stroked="f" coordsize="21600,21600" o:gfxdata="UEsDBAoAAAAAAIdO4kAAAAAAAAAAAAAAAAAEAAAAZHJzL1BLAwQUAAAACACHTuJAHjxxZNQAAAAE&#10;AQAADwAAAGRycy9kb3ducmV2LnhtbE2PzU7DMBCE70i8g7VI3KhdJEob4lQVghMSIk0PHJ14m1iN&#10;12ns/vD2LFzay0ijWc18my/PvhdHHKMLpGE6USCQmmAdtRo21fvDHERMhqzpA6GGH4ywLG5vcpPZ&#10;cKISj+vUCi6hmBkNXUpDJmVsOvQmTsKAxNk2jN4ktmMr7WhOXO57+ajUTHrjiBc6M+Brh81uffAa&#10;Vt9Uvrn9Z/1VbktXVQtFH7Od1vd3U/UCIuE5XY7hD5/RoWCmOhzIRtFr4EfSv3K2UM9saw3zJwWy&#10;yOU1fPELUEsDBBQAAAAIAIdO4kBkCN5btQEAAFADAAAOAAAAZHJzL2Uyb0RvYy54bWytU82OEzEM&#10;viPxDlHudNrCsHTU6UpotQhpBYiFB0gzSSciiaM425m+ALwBJy7c97n6HDjpzy5wQ1w8Tvz5sz87&#10;s7wcnWVbFdGAb/lsMuVMeQmd8ZuWf/50/ewVZ5iE74QFr1q+U8gvV0+fLIfQqDn0YDsVGZF4bIbQ&#10;8j6l0FQVyl45gRMIylNQQ3Qi0TFuqi6KgdidrebT6ctqgNiFCFIh0u3VIchXhV9rJdN7rVElZltO&#10;vaViY7HrbKvVUjSbKEJv5LEN8Q9dOGE8FT1TXYkk2F00f1E5IyMg6DSR4CrQ2khVNJCa2fQPNbe9&#10;CKpooeFgOI8J/x+tfLf9EJnpaHeceeFoRfvv3/Y/7vc/v7JZHs8QsCHUbSBcGl/DmKFZKoYbkF+Q&#10;efgINNcCrh6hD6lIeRk96ujylyQzoqBd7M7zV2Niki7ri3rxoqaQpFj9fHFBPnVQPWSHiOmNAsey&#10;0/JI+y29iO0NpgP0BMnFPFwba8uOrWdDyxf1vC4J5wiRW081cuOHXrOXxvV41L6GbkfS7VtPY89P&#10;6OTEk7M+OXchmk3/2yxobUXA8Ynld/H4XAo//AirX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B48&#10;cWTUAAAABAEAAA8AAAAAAAAAAQAgAAAAIgAAAGRycy9kb3ducmV2LnhtbFBLAQIUABQAAAAIAIdO&#10;4kBkCN5btQEAAFADAAAOAAAAAAAAAAEAIAAAACMBAABkcnMvZTJvRG9jLnhtbFBLBQYAAAAABgAG&#10;AFkBAABKBQAAAAA=&#10;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line="334" w:lineRule="atLeast"/>
                </w:pPr>
              </w:p>
            </w:txbxContent>
          </v:textbox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" w:lineRule="atLeast"/>
    </w:pPr>
    <w:r>
      <w:pict>
        <v:shape id="_x0000_s1028" o:spid="_x0000_s1028" o:spt="202" type="#_x0000_t202" style="height:42.5pt;width:453.5pt;" filled="f" stroked="f" coordsize="21600,21600" o:gfxdata="UEsDBAoAAAAAAIdO4kAAAAAAAAAAAAAAAAAEAAAAZHJzL1BLAwQUAAAACACHTuJAHjxxZNQAAAAE&#10;AQAADwAAAGRycy9kb3ducmV2LnhtbE2PzU7DMBCE70i8g7VI3KhdJEob4lQVghMSIk0PHJ14m1iN&#10;12ns/vD2LFzay0ijWc18my/PvhdHHKMLpGE6USCQmmAdtRo21fvDHERMhqzpA6GGH4ywLG5vcpPZ&#10;cKISj+vUCi6hmBkNXUpDJmVsOvQmTsKAxNk2jN4ktmMr7WhOXO57+ajUTHrjiBc6M+Brh81uffAa&#10;Vt9Uvrn9Z/1VbktXVQtFH7Od1vd3U/UCIuE5XY7hD5/RoWCmOhzIRtFr4EfSv3K2UM9saw3zJwWy&#10;yOU1fPELUEsDBBQAAAAIAIdO4kAiaAFXtwEAAFADAAAOAAAAZHJzL2Uyb0RvYy54bWytU0tu2zAQ&#10;3RfIHQjuY/kTNbVgOUAQpCgQtEXTHoCmKIsoySE4jCVfoL1BV91033P5HB3Sn3y6K7qhhvN5nPdm&#10;tLgarGEbFVCDq/lkNOZMOQmNduuaf/l8e/6GM4zCNcKAUzXfKuRXy7NXi95XagodmEYFRiAOq97X&#10;vIvRV0WBslNW4Ai8chRsIVgR6RrWRRNET+jWFNPx+HXRQ2h8AKkQyXuzD/Jlxm9bJeOHtkUVmak5&#10;9RbzGfK5SmexXIhqHYTvtDy0If6hCyu0o0dPUDciCvYQ9F9QVssACG0cSbAFtK2WKnMgNpPxCzb3&#10;nfAqcyFx0J9kwv8HK99vPgamm5rPOHPC0oh2P77vfv7e/frGZkme3mNFWfee8uJwDQONOVNFfwfy&#10;KzIHn4B0naTk4kn2vhSpLgkztMGmL1FmBEGz2J70V0NkkpzlZTm/KCkkKVbO5pdkJ9DHah8wvlVg&#10;WTJqHmi+uRexucO4Tz2mpMcc3GpjyC8q41hf83k5LXPBKULgxh0a3/eaKMRhNVBZMlfQbIm6eedI&#10;9rRCRyMcjdXRePBBr7tnWtDYMoHDiqW9eHrPDz/+CMs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HjxxZNQAAAAEAQAADwAAAAAAAAABACAAAAAiAAAAZHJzL2Rvd25yZXYueG1sUEsBAhQAFAAAAAgA&#10;h07iQCJoAVe3AQAAUAMAAA4AAAAAAAAAAQAgAAAAIwEAAGRycy9lMm9Eb2MueG1sUEsFBgAAAAAG&#10;AAYAWQEAAEwFAAAAAA==&#10;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line="334" w:lineRule="atLeast"/>
                </w:pPr>
              </w:p>
            </w:txbxContent>
          </v:textbox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CBD57F0"/>
    <w:multiLevelType w:val="singleLevel"/>
    <w:tmpl w:val="CCBD57F0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numFmt w:val="decimalHalfWidth"/>
  </w:footnotePr>
  <w:endnotePr>
    <w:numFmt w:val="chineseCounting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D140506"/>
    <w:rsid w:val="00023E8A"/>
    <w:rsid w:val="00033226"/>
    <w:rsid w:val="00044829"/>
    <w:rsid w:val="000A6B7F"/>
    <w:rsid w:val="000A777D"/>
    <w:rsid w:val="000C6251"/>
    <w:rsid w:val="000E4A34"/>
    <w:rsid w:val="000F45A4"/>
    <w:rsid w:val="00100603"/>
    <w:rsid w:val="0015002A"/>
    <w:rsid w:val="00150097"/>
    <w:rsid w:val="00155D51"/>
    <w:rsid w:val="00155F41"/>
    <w:rsid w:val="00186A27"/>
    <w:rsid w:val="001C6192"/>
    <w:rsid w:val="001D73EF"/>
    <w:rsid w:val="001F5F1E"/>
    <w:rsid w:val="001F6572"/>
    <w:rsid w:val="001F7DC5"/>
    <w:rsid w:val="0020090C"/>
    <w:rsid w:val="00237D2A"/>
    <w:rsid w:val="00244613"/>
    <w:rsid w:val="00250CD6"/>
    <w:rsid w:val="002667AF"/>
    <w:rsid w:val="002776DC"/>
    <w:rsid w:val="0028640A"/>
    <w:rsid w:val="002D137F"/>
    <w:rsid w:val="002F40C2"/>
    <w:rsid w:val="003066FC"/>
    <w:rsid w:val="003071CA"/>
    <w:rsid w:val="0032100A"/>
    <w:rsid w:val="00330263"/>
    <w:rsid w:val="00337849"/>
    <w:rsid w:val="003408F6"/>
    <w:rsid w:val="00342016"/>
    <w:rsid w:val="00352196"/>
    <w:rsid w:val="00394DDD"/>
    <w:rsid w:val="003B1639"/>
    <w:rsid w:val="003C342B"/>
    <w:rsid w:val="003D6B09"/>
    <w:rsid w:val="0041135E"/>
    <w:rsid w:val="004347AA"/>
    <w:rsid w:val="0046793F"/>
    <w:rsid w:val="004D029B"/>
    <w:rsid w:val="004F329A"/>
    <w:rsid w:val="0050573E"/>
    <w:rsid w:val="00567F15"/>
    <w:rsid w:val="00575CF2"/>
    <w:rsid w:val="005A0843"/>
    <w:rsid w:val="005A4F3B"/>
    <w:rsid w:val="005E0D94"/>
    <w:rsid w:val="005F549F"/>
    <w:rsid w:val="005F6A50"/>
    <w:rsid w:val="00601AAB"/>
    <w:rsid w:val="00621E10"/>
    <w:rsid w:val="00636B4F"/>
    <w:rsid w:val="006419CF"/>
    <w:rsid w:val="0064303F"/>
    <w:rsid w:val="006A1967"/>
    <w:rsid w:val="006B3851"/>
    <w:rsid w:val="006C0E49"/>
    <w:rsid w:val="006C7857"/>
    <w:rsid w:val="0072254D"/>
    <w:rsid w:val="00772A47"/>
    <w:rsid w:val="00777DE5"/>
    <w:rsid w:val="00787194"/>
    <w:rsid w:val="007C5608"/>
    <w:rsid w:val="008106BE"/>
    <w:rsid w:val="00826516"/>
    <w:rsid w:val="00851524"/>
    <w:rsid w:val="00884B35"/>
    <w:rsid w:val="008D1849"/>
    <w:rsid w:val="008F7DD8"/>
    <w:rsid w:val="00910146"/>
    <w:rsid w:val="009243A3"/>
    <w:rsid w:val="00927555"/>
    <w:rsid w:val="009533A8"/>
    <w:rsid w:val="009659D5"/>
    <w:rsid w:val="009C27AB"/>
    <w:rsid w:val="009D7F03"/>
    <w:rsid w:val="009E0A23"/>
    <w:rsid w:val="009E2530"/>
    <w:rsid w:val="009F4926"/>
    <w:rsid w:val="00A22F76"/>
    <w:rsid w:val="00A30F92"/>
    <w:rsid w:val="00A45AC6"/>
    <w:rsid w:val="00A72429"/>
    <w:rsid w:val="00A7536A"/>
    <w:rsid w:val="00A7663E"/>
    <w:rsid w:val="00A90BCC"/>
    <w:rsid w:val="00A92292"/>
    <w:rsid w:val="00A968E3"/>
    <w:rsid w:val="00AA729A"/>
    <w:rsid w:val="00AE0333"/>
    <w:rsid w:val="00B02D03"/>
    <w:rsid w:val="00B548B4"/>
    <w:rsid w:val="00BC23B9"/>
    <w:rsid w:val="00BD71BD"/>
    <w:rsid w:val="00BF1379"/>
    <w:rsid w:val="00BF53F9"/>
    <w:rsid w:val="00C113AB"/>
    <w:rsid w:val="00C1733C"/>
    <w:rsid w:val="00C33A19"/>
    <w:rsid w:val="00CA4C9F"/>
    <w:rsid w:val="00CA6542"/>
    <w:rsid w:val="00CB08CC"/>
    <w:rsid w:val="00CB55F9"/>
    <w:rsid w:val="00CD603D"/>
    <w:rsid w:val="00CE5DA3"/>
    <w:rsid w:val="00D10E45"/>
    <w:rsid w:val="00D34EC9"/>
    <w:rsid w:val="00D357E6"/>
    <w:rsid w:val="00D90E54"/>
    <w:rsid w:val="00DC2522"/>
    <w:rsid w:val="00DE4068"/>
    <w:rsid w:val="00E158BF"/>
    <w:rsid w:val="00E30422"/>
    <w:rsid w:val="00E736CB"/>
    <w:rsid w:val="00EB7F22"/>
    <w:rsid w:val="00F36AF0"/>
    <w:rsid w:val="00F9109C"/>
    <w:rsid w:val="00F953AF"/>
    <w:rsid w:val="00FD10A3"/>
    <w:rsid w:val="00FF6323"/>
    <w:rsid w:val="01C51755"/>
    <w:rsid w:val="022F1FF5"/>
    <w:rsid w:val="02DA4828"/>
    <w:rsid w:val="04465B6E"/>
    <w:rsid w:val="058C6DAE"/>
    <w:rsid w:val="06530BEE"/>
    <w:rsid w:val="06DF1D39"/>
    <w:rsid w:val="06E57BBC"/>
    <w:rsid w:val="09124D49"/>
    <w:rsid w:val="09E229FF"/>
    <w:rsid w:val="09F71378"/>
    <w:rsid w:val="0A1F730E"/>
    <w:rsid w:val="0BD6503C"/>
    <w:rsid w:val="0C671F6B"/>
    <w:rsid w:val="0CC764B5"/>
    <w:rsid w:val="0CCC5626"/>
    <w:rsid w:val="0D3B246C"/>
    <w:rsid w:val="0D5E50B3"/>
    <w:rsid w:val="0F804911"/>
    <w:rsid w:val="142C265F"/>
    <w:rsid w:val="15DE544F"/>
    <w:rsid w:val="162461FB"/>
    <w:rsid w:val="18337CC5"/>
    <w:rsid w:val="19024845"/>
    <w:rsid w:val="19411C83"/>
    <w:rsid w:val="1969349A"/>
    <w:rsid w:val="1A8F1042"/>
    <w:rsid w:val="1BB14C3A"/>
    <w:rsid w:val="1BEE3559"/>
    <w:rsid w:val="1EF87E04"/>
    <w:rsid w:val="1F3653DD"/>
    <w:rsid w:val="1FCA1255"/>
    <w:rsid w:val="20A43E0E"/>
    <w:rsid w:val="23A52230"/>
    <w:rsid w:val="246772F6"/>
    <w:rsid w:val="24CE55AD"/>
    <w:rsid w:val="253A0E09"/>
    <w:rsid w:val="26F70D48"/>
    <w:rsid w:val="290B14A2"/>
    <w:rsid w:val="2A2A6B76"/>
    <w:rsid w:val="2A461C99"/>
    <w:rsid w:val="2AE33A44"/>
    <w:rsid w:val="2CAC4431"/>
    <w:rsid w:val="2CD5539B"/>
    <w:rsid w:val="2D3E244D"/>
    <w:rsid w:val="2DB57141"/>
    <w:rsid w:val="305C3DCD"/>
    <w:rsid w:val="317E500B"/>
    <w:rsid w:val="31B42113"/>
    <w:rsid w:val="31E91992"/>
    <w:rsid w:val="33234020"/>
    <w:rsid w:val="33393428"/>
    <w:rsid w:val="35B40946"/>
    <w:rsid w:val="36710933"/>
    <w:rsid w:val="384F14BC"/>
    <w:rsid w:val="3A05283C"/>
    <w:rsid w:val="3ABA15FA"/>
    <w:rsid w:val="3BB77DC4"/>
    <w:rsid w:val="3BE65647"/>
    <w:rsid w:val="3CA14682"/>
    <w:rsid w:val="3CB81C08"/>
    <w:rsid w:val="3D9202E4"/>
    <w:rsid w:val="3E4C69C4"/>
    <w:rsid w:val="3F547F0D"/>
    <w:rsid w:val="40AE7257"/>
    <w:rsid w:val="430D0EEB"/>
    <w:rsid w:val="43FD0868"/>
    <w:rsid w:val="44A8237D"/>
    <w:rsid w:val="453C6DED"/>
    <w:rsid w:val="456D6BE9"/>
    <w:rsid w:val="45706BFE"/>
    <w:rsid w:val="461D550A"/>
    <w:rsid w:val="471D69D0"/>
    <w:rsid w:val="47514177"/>
    <w:rsid w:val="47776928"/>
    <w:rsid w:val="4DD366B7"/>
    <w:rsid w:val="4E186F18"/>
    <w:rsid w:val="519D2626"/>
    <w:rsid w:val="53232FB0"/>
    <w:rsid w:val="5333214D"/>
    <w:rsid w:val="569433B9"/>
    <w:rsid w:val="58EC2AF9"/>
    <w:rsid w:val="59115B72"/>
    <w:rsid w:val="5C5706E6"/>
    <w:rsid w:val="5CDF36D0"/>
    <w:rsid w:val="6182012C"/>
    <w:rsid w:val="61F16214"/>
    <w:rsid w:val="63A57CD1"/>
    <w:rsid w:val="64996235"/>
    <w:rsid w:val="64AC28AC"/>
    <w:rsid w:val="661810D0"/>
    <w:rsid w:val="6CC22258"/>
    <w:rsid w:val="6D140506"/>
    <w:rsid w:val="6E760455"/>
    <w:rsid w:val="715F2F36"/>
    <w:rsid w:val="71855A7F"/>
    <w:rsid w:val="72036BCC"/>
    <w:rsid w:val="747D1B16"/>
    <w:rsid w:val="756D6ECE"/>
    <w:rsid w:val="75CD182F"/>
    <w:rsid w:val="77221DDB"/>
    <w:rsid w:val="78B81431"/>
    <w:rsid w:val="78E6752D"/>
    <w:rsid w:val="7D957F29"/>
    <w:rsid w:val="7E2B79CB"/>
    <w:rsid w:val="7EBE783D"/>
    <w:rsid w:val="7F4C373A"/>
    <w:rsid w:val="7FC0745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outlineLvl w:val="2"/>
    </w:pPr>
    <w:rPr>
      <w:rFonts w:eastAsia="黑体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8"/>
    <customShpInfo spid="_x0000_s1025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C4CCD45-B922-4EBB-8CDD-DACD9CDEDBF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838</Words>
  <Characters>4777</Characters>
  <Lines>39</Lines>
  <Paragraphs>11</Paragraphs>
  <TotalTime>82</TotalTime>
  <ScaleCrop>false</ScaleCrop>
  <LinksUpToDate>false</LinksUpToDate>
  <CharactersWithSpaces>5604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2020-09-06T13:50:00Z</dcterms:created>
  <dc:creator>Administrator</dc:creator>
  <cp:lastModifiedBy>Administrator</cp:lastModifiedBy>
  <dcterms:modified xsi:type="dcterms:W3CDTF">2022-09-26T04:45:50Z</dcterms:modified>
  <cp:revision>120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320D3D6F9DB344B1848E79EFAF2D1C3A</vt:lpwstr>
  </property>
</Properties>
</file>