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Times New Roman" w:hAnsi="Times New Roman" w:eastAsia="黑体" w:cs="Times New Roman"/>
          <w:color w:val="auto"/>
          <w:sz w:val="32"/>
          <w:szCs w:val="32"/>
          <w:highlight w:val="none"/>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7"/>
        <w:rPr>
          <w:rFonts w:hint="default" w:ascii="Times New Roman" w:hAnsi="Times New Roman" w:cs="Times New Roman"/>
          <w:highlight w:val="none"/>
          <w:lang w:val="en-US" w:eastAsia="zh-CN"/>
        </w:rPr>
      </w:pPr>
    </w:p>
    <w:p>
      <w:pPr>
        <w:widowControl/>
        <w:spacing w:before="100" w:beforeAutospacing="1" w:after="100" w:afterAutospacing="1"/>
        <w:jc w:val="center"/>
        <w:outlineLvl w:val="1"/>
        <w:rPr>
          <w:rFonts w:hint="default" w:ascii="Times New Roman" w:hAnsi="Times New Roman" w:eastAsia="方正小标宋_GBK" w:cs="Times New Roman"/>
          <w:kern w:val="0"/>
          <w:sz w:val="44"/>
          <w:szCs w:val="44"/>
          <w:highlight w:val="none"/>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widowControl/>
        <w:spacing w:before="100" w:beforeAutospacing="1" w:after="100" w:afterAutospacing="1"/>
        <w:jc w:val="center"/>
        <w:outlineLvl w:val="1"/>
        <w:rPr>
          <w:rFonts w:hint="default" w:ascii="Times New Roman" w:hAnsi="Times New Roman" w:eastAsia="方正小标宋_GBK" w:cs="Times New Roman"/>
          <w:kern w:val="0"/>
          <w:sz w:val="52"/>
          <w:szCs w:val="52"/>
          <w:highlight w:val="none"/>
          <w:lang w:eastAsia="zh-CN"/>
        </w:rPr>
      </w:pPr>
      <w:r>
        <w:rPr>
          <w:rFonts w:hint="default" w:ascii="Times New Roman" w:hAnsi="Times New Roman" w:eastAsia="方正小标宋_GBK" w:cs="Times New Roman"/>
          <w:kern w:val="0"/>
          <w:sz w:val="52"/>
          <w:szCs w:val="52"/>
          <w:highlight w:val="none"/>
          <w:lang w:eastAsia="zh-CN"/>
        </w:rPr>
        <w:t>泽普县</w:t>
      </w:r>
      <w:r>
        <w:rPr>
          <w:rFonts w:hint="default" w:ascii="Times New Roman" w:hAnsi="Times New Roman" w:eastAsia="方正小标宋_GBK" w:cs="Times New Roman"/>
          <w:kern w:val="0"/>
          <w:sz w:val="52"/>
          <w:szCs w:val="52"/>
          <w:highlight w:val="none"/>
          <w:lang w:val="en-US" w:eastAsia="zh-CN"/>
        </w:rPr>
        <w:t>2025年度</w:t>
      </w:r>
      <w:r>
        <w:rPr>
          <w:rFonts w:hint="default" w:ascii="Times New Roman" w:hAnsi="Times New Roman" w:eastAsia="方正小标宋_GBK" w:cs="Times New Roman"/>
          <w:kern w:val="0"/>
          <w:sz w:val="52"/>
          <w:szCs w:val="52"/>
          <w:highlight w:val="none"/>
        </w:rPr>
        <w:t>政府预算公开</w:t>
      </w:r>
      <w:r>
        <w:rPr>
          <w:rFonts w:hint="default" w:ascii="Times New Roman" w:hAnsi="Times New Roman" w:eastAsia="方正小标宋_GBK" w:cs="Times New Roman"/>
          <w:kern w:val="0"/>
          <w:sz w:val="52"/>
          <w:szCs w:val="52"/>
          <w:highlight w:val="none"/>
          <w:lang w:eastAsia="zh-CN"/>
        </w:rPr>
        <w:t>报告</w:t>
      </w:r>
    </w:p>
    <w:p>
      <w:pPr>
        <w:widowControl/>
        <w:spacing w:before="100" w:beforeAutospacing="1" w:after="100" w:afterAutospacing="1"/>
        <w:jc w:val="center"/>
        <w:outlineLvl w:val="1"/>
        <w:rPr>
          <w:rFonts w:hint="default" w:ascii="Times New Roman" w:hAnsi="Times New Roman" w:eastAsia="方正小标宋_GBK" w:cs="Times New Roman"/>
          <w:kern w:val="0"/>
          <w:sz w:val="44"/>
          <w:szCs w:val="44"/>
          <w:highlight w:val="none"/>
        </w:rPr>
      </w:pPr>
    </w:p>
    <w:p>
      <w:pPr>
        <w:widowControl/>
        <w:spacing w:before="100" w:beforeAutospacing="1" w:after="100" w:afterAutospacing="1"/>
        <w:jc w:val="center"/>
        <w:outlineLvl w:val="1"/>
        <w:rPr>
          <w:rFonts w:hint="default" w:ascii="Times New Roman" w:hAnsi="Times New Roman" w:eastAsia="方正小标宋_GBK" w:cs="Times New Roman"/>
          <w:kern w:val="0"/>
          <w:sz w:val="44"/>
          <w:szCs w:val="44"/>
          <w:highlight w:val="none"/>
        </w:rPr>
      </w:pPr>
    </w:p>
    <w:p>
      <w:pPr>
        <w:widowControl/>
        <w:spacing w:before="100" w:beforeAutospacing="1" w:after="100" w:afterAutospacing="1"/>
        <w:jc w:val="center"/>
        <w:outlineLvl w:val="1"/>
        <w:rPr>
          <w:rFonts w:hint="default" w:ascii="Times New Roman" w:hAnsi="Times New Roman" w:eastAsia="方正小标宋_GBK" w:cs="Times New Roman"/>
          <w:kern w:val="0"/>
          <w:sz w:val="44"/>
          <w:szCs w:val="44"/>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widowControl/>
        <w:spacing w:line="440" w:lineRule="exact"/>
        <w:jc w:val="both"/>
        <w:outlineLvl w:val="1"/>
        <w:rPr>
          <w:rFonts w:hint="default" w:ascii="Times New Roman" w:hAnsi="Times New Roman" w:eastAsia="黑体" w:cs="Times New Roman"/>
          <w:kern w:val="0"/>
          <w:sz w:val="36"/>
          <w:szCs w:val="32"/>
          <w:highlight w:val="none"/>
          <w:lang w:val="en-US" w:eastAsia="zh-Hans"/>
        </w:rPr>
        <w:sectPr>
          <w:footerReference r:id="rId3" w:type="default"/>
          <w:pgSz w:w="11906" w:h="16838"/>
          <w:pgMar w:top="2098" w:right="1417" w:bottom="1984" w:left="1587" w:header="851" w:footer="992" w:gutter="0"/>
          <w:pgNumType w:fmt="numberInDash"/>
          <w:cols w:space="0" w:num="1"/>
          <w:rtlGutter w:val="0"/>
          <w:docGrid w:linePitch="312" w:charSpace="0"/>
        </w:sectPr>
      </w:pPr>
    </w:p>
    <w:p>
      <w:pPr>
        <w:widowControl/>
        <w:spacing w:line="600" w:lineRule="exact"/>
        <w:jc w:val="center"/>
        <w:outlineLvl w:val="1"/>
        <w:rPr>
          <w:rFonts w:hint="default" w:ascii="Times New Roman" w:hAnsi="Times New Roman" w:eastAsia="黑体" w:cs="Times New Roman"/>
          <w:kern w:val="0"/>
          <w:sz w:val="36"/>
          <w:szCs w:val="32"/>
          <w:highlight w:val="none"/>
        </w:rPr>
      </w:pPr>
      <w:r>
        <w:rPr>
          <w:rFonts w:hint="default" w:ascii="Times New Roman" w:hAnsi="Times New Roman" w:eastAsia="黑体" w:cs="Times New Roman"/>
          <w:kern w:val="0"/>
          <w:sz w:val="36"/>
          <w:szCs w:val="32"/>
          <w:highlight w:val="none"/>
          <w:lang w:val="en-US" w:eastAsia="zh-Hans"/>
        </w:rPr>
        <w:t>目</w:t>
      </w:r>
      <w:r>
        <w:rPr>
          <w:rFonts w:hint="default" w:ascii="Times New Roman" w:hAnsi="Times New Roman" w:eastAsia="黑体" w:cs="Times New Roman"/>
          <w:kern w:val="0"/>
          <w:sz w:val="36"/>
          <w:szCs w:val="32"/>
          <w:highlight w:val="none"/>
          <w:lang w:val="en-US" w:eastAsia="zh-CN"/>
        </w:rPr>
        <w:t xml:space="preserve"> </w:t>
      </w:r>
      <w:r>
        <w:rPr>
          <w:rFonts w:hint="default" w:ascii="Times New Roman" w:hAnsi="Times New Roman" w:eastAsia="黑体" w:cs="Times New Roman"/>
          <w:kern w:val="0"/>
          <w:sz w:val="36"/>
          <w:szCs w:val="32"/>
          <w:highlight w:val="none"/>
        </w:rPr>
        <w:t>录</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default" w:ascii="Times New Roman" w:hAnsi="Times New Roman" w:eastAsia="仿宋_GB2312" w:cs="Times New Roman"/>
          <w:b/>
          <w:kern w:val="0"/>
          <w:sz w:val="32"/>
          <w:szCs w:val="32"/>
          <w:highlight w:val="none"/>
          <w:lang w:val="en-US" w:eastAsia="zh-Hans"/>
        </w:rPr>
      </w:pP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default" w:ascii="Times New Roman" w:hAnsi="Times New Roman" w:eastAsia="仿宋_GB2312" w:cs="Times New Roman"/>
          <w:b/>
          <w:kern w:val="0"/>
          <w:sz w:val="32"/>
          <w:szCs w:val="32"/>
          <w:highlight w:val="none"/>
          <w:lang w:val="en-US" w:eastAsia="zh-Hans"/>
        </w:rPr>
      </w:pPr>
      <w:r>
        <w:rPr>
          <w:rFonts w:hint="default" w:ascii="Times New Roman" w:hAnsi="Times New Roman" w:eastAsia="仿宋_GB2312" w:cs="Times New Roman"/>
          <w:b/>
          <w:kern w:val="0"/>
          <w:sz w:val="32"/>
          <w:szCs w:val="32"/>
          <w:highlight w:val="none"/>
          <w:lang w:val="en-US" w:eastAsia="zh-Hans"/>
        </w:rPr>
        <w:t>第一部分</w:t>
      </w:r>
      <w:r>
        <w:rPr>
          <w:rFonts w:hint="default" w:ascii="Times New Roman" w:hAnsi="Times New Roman" w:eastAsia="仿宋_GB2312" w:cs="Times New Roman"/>
          <w:b/>
          <w:kern w:val="0"/>
          <w:sz w:val="32"/>
          <w:szCs w:val="32"/>
          <w:highlight w:val="none"/>
          <w:lang w:eastAsia="zh-Hans"/>
        </w:rPr>
        <w:t xml:space="preserve"> </w:t>
      </w:r>
      <w:r>
        <w:rPr>
          <w:rFonts w:hint="default" w:ascii="Times New Roman" w:hAnsi="Times New Roman" w:eastAsia="仿宋_GB2312" w:cs="Times New Roman"/>
          <w:b/>
          <w:kern w:val="0"/>
          <w:sz w:val="32"/>
          <w:szCs w:val="32"/>
          <w:highlight w:val="none"/>
          <w:lang w:val="en-US" w:eastAsia="zh-Hans"/>
        </w:rPr>
        <w:t>预算草案报告</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default" w:ascii="Times New Roman" w:hAnsi="Times New Roman" w:eastAsia="仿宋_GB2312" w:cs="Times New Roman"/>
          <w:b/>
          <w:kern w:val="0"/>
          <w:sz w:val="32"/>
          <w:szCs w:val="32"/>
          <w:highlight w:val="none"/>
          <w:lang w:val="en-US" w:eastAsia="zh-Hans"/>
        </w:rPr>
      </w:pPr>
      <w:r>
        <w:rPr>
          <w:rFonts w:hint="default" w:ascii="Times New Roman" w:hAnsi="Times New Roman" w:eastAsia="仿宋_GB2312" w:cs="Times New Roman"/>
          <w:b/>
          <w:kern w:val="0"/>
          <w:sz w:val="32"/>
          <w:szCs w:val="32"/>
          <w:highlight w:val="none"/>
          <w:lang w:val="en-US" w:eastAsia="zh-Hans"/>
        </w:rPr>
        <w:t>第二部分</w:t>
      </w:r>
      <w:r>
        <w:rPr>
          <w:rFonts w:hint="default" w:ascii="Times New Roman" w:hAnsi="Times New Roman" w:eastAsia="仿宋_GB2312" w:cs="Times New Roman"/>
          <w:b/>
          <w:kern w:val="0"/>
          <w:sz w:val="32"/>
          <w:szCs w:val="32"/>
          <w:highlight w:val="none"/>
          <w:lang w:eastAsia="zh-Hans"/>
        </w:rPr>
        <w:t xml:space="preserve"> “</w:t>
      </w:r>
      <w:r>
        <w:rPr>
          <w:rFonts w:hint="default" w:ascii="Times New Roman" w:hAnsi="Times New Roman" w:eastAsia="仿宋_GB2312" w:cs="Times New Roman"/>
          <w:b/>
          <w:kern w:val="0"/>
          <w:sz w:val="32"/>
          <w:szCs w:val="32"/>
          <w:highlight w:val="none"/>
          <w:lang w:val="en-US" w:eastAsia="zh-Hans"/>
        </w:rPr>
        <w:t>四本</w:t>
      </w:r>
      <w:r>
        <w:rPr>
          <w:rFonts w:hint="default" w:ascii="Times New Roman" w:hAnsi="Times New Roman" w:eastAsia="仿宋_GB2312" w:cs="Times New Roman"/>
          <w:b/>
          <w:kern w:val="0"/>
          <w:sz w:val="32"/>
          <w:szCs w:val="32"/>
          <w:highlight w:val="none"/>
          <w:lang w:eastAsia="zh-Hans"/>
        </w:rPr>
        <w:t>”</w:t>
      </w:r>
      <w:r>
        <w:rPr>
          <w:rFonts w:hint="default" w:ascii="Times New Roman" w:hAnsi="Times New Roman" w:eastAsia="仿宋_GB2312" w:cs="Times New Roman"/>
          <w:b/>
          <w:kern w:val="0"/>
          <w:sz w:val="32"/>
          <w:szCs w:val="32"/>
          <w:highlight w:val="none"/>
          <w:lang w:val="en-US" w:eastAsia="zh-Hans"/>
        </w:rPr>
        <w:t>预算公开表</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kern w:val="0"/>
          <w:sz w:val="32"/>
          <w:szCs w:val="32"/>
          <w:highlight w:val="none"/>
          <w:lang w:val="en-US" w:eastAsia="zh-Hans"/>
        </w:rPr>
      </w:pPr>
      <w:r>
        <w:rPr>
          <w:rFonts w:hint="default" w:ascii="Times New Roman" w:hAnsi="Times New Roman" w:eastAsia="仿宋_GB2312" w:cs="Times New Roman"/>
          <w:b w:val="0"/>
          <w:bCs/>
          <w:sz w:val="32"/>
          <w:highlight w:val="none"/>
          <w:lang w:val="en-US" w:eastAsia="zh-Hans"/>
        </w:rPr>
        <w:t>一</w:t>
      </w:r>
      <w:r>
        <w:rPr>
          <w:rFonts w:hint="default" w:ascii="Times New Roman" w:hAnsi="Times New Roman" w:eastAsia="仿宋_GB2312" w:cs="Times New Roman"/>
          <w:kern w:val="0"/>
          <w:sz w:val="32"/>
          <w:szCs w:val="32"/>
          <w:highlight w:val="none"/>
          <w:lang w:val="en-US" w:eastAsia="zh-Hans"/>
        </w:rPr>
        <w:t>、一般公共预算</w:t>
      </w:r>
      <w:r>
        <w:rPr>
          <w:rFonts w:hint="default" w:ascii="Times New Roman" w:hAnsi="Times New Roman" w:eastAsia="仿宋_GB2312" w:cs="Times New Roman"/>
          <w:kern w:val="0"/>
          <w:sz w:val="32"/>
          <w:szCs w:val="32"/>
          <w:highlight w:val="none"/>
          <w:lang w:val="en-US" w:eastAsia="zh-CN"/>
        </w:rPr>
        <w:t>公开</w:t>
      </w:r>
      <w:r>
        <w:rPr>
          <w:rFonts w:hint="default" w:ascii="Times New Roman" w:hAnsi="Times New Roman" w:eastAsia="仿宋_GB2312" w:cs="Times New Roman"/>
          <w:kern w:val="0"/>
          <w:sz w:val="32"/>
          <w:szCs w:val="32"/>
          <w:highlight w:val="none"/>
          <w:lang w:val="en-US" w:eastAsia="zh-Hans"/>
        </w:rPr>
        <w:t>表</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kern w:val="0"/>
          <w:sz w:val="32"/>
          <w:szCs w:val="32"/>
          <w:highlight w:val="none"/>
          <w:lang w:val="en-US" w:eastAsia="zh-Hans"/>
        </w:rPr>
      </w:pPr>
      <w:r>
        <w:rPr>
          <w:rFonts w:hint="default" w:ascii="Times New Roman" w:hAnsi="Times New Roman" w:eastAsia="仿宋_GB2312" w:cs="Times New Roman"/>
          <w:kern w:val="0"/>
          <w:sz w:val="32"/>
          <w:szCs w:val="32"/>
          <w:highlight w:val="none"/>
          <w:lang w:val="en-US" w:eastAsia="zh-Hans"/>
        </w:rPr>
        <w:t>二、政府性基金预算</w:t>
      </w:r>
      <w:r>
        <w:rPr>
          <w:rFonts w:hint="default" w:ascii="Times New Roman" w:hAnsi="Times New Roman" w:eastAsia="仿宋_GB2312" w:cs="Times New Roman"/>
          <w:kern w:val="0"/>
          <w:sz w:val="32"/>
          <w:szCs w:val="32"/>
          <w:highlight w:val="none"/>
          <w:lang w:val="en-US" w:eastAsia="zh-CN"/>
        </w:rPr>
        <w:t>公开</w:t>
      </w:r>
      <w:r>
        <w:rPr>
          <w:rFonts w:hint="default" w:ascii="Times New Roman" w:hAnsi="Times New Roman" w:eastAsia="仿宋_GB2312" w:cs="Times New Roman"/>
          <w:kern w:val="0"/>
          <w:sz w:val="32"/>
          <w:szCs w:val="32"/>
          <w:highlight w:val="none"/>
          <w:lang w:val="en-US" w:eastAsia="zh-Hans"/>
        </w:rPr>
        <w:t>表</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kern w:val="0"/>
          <w:sz w:val="32"/>
          <w:szCs w:val="32"/>
          <w:highlight w:val="none"/>
          <w:lang w:val="en-US" w:eastAsia="zh-Hans"/>
        </w:rPr>
      </w:pPr>
      <w:r>
        <w:rPr>
          <w:rFonts w:hint="default" w:ascii="Times New Roman" w:hAnsi="Times New Roman" w:eastAsia="仿宋_GB2312" w:cs="Times New Roman"/>
          <w:kern w:val="0"/>
          <w:sz w:val="32"/>
          <w:szCs w:val="32"/>
          <w:highlight w:val="none"/>
          <w:lang w:val="en-US" w:eastAsia="zh-Hans"/>
        </w:rPr>
        <w:t>三、国有资本经营预算</w:t>
      </w:r>
      <w:r>
        <w:rPr>
          <w:rFonts w:hint="default" w:ascii="Times New Roman" w:hAnsi="Times New Roman" w:eastAsia="仿宋_GB2312" w:cs="Times New Roman"/>
          <w:kern w:val="0"/>
          <w:sz w:val="32"/>
          <w:szCs w:val="32"/>
          <w:highlight w:val="none"/>
          <w:lang w:val="en-US" w:eastAsia="zh-CN"/>
        </w:rPr>
        <w:t>公开</w:t>
      </w:r>
      <w:r>
        <w:rPr>
          <w:rFonts w:hint="default" w:ascii="Times New Roman" w:hAnsi="Times New Roman" w:eastAsia="仿宋_GB2312" w:cs="Times New Roman"/>
          <w:kern w:val="0"/>
          <w:sz w:val="32"/>
          <w:szCs w:val="32"/>
          <w:highlight w:val="none"/>
          <w:lang w:val="en-US" w:eastAsia="zh-Hans"/>
        </w:rPr>
        <w:t>表</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kern w:val="0"/>
          <w:sz w:val="32"/>
          <w:szCs w:val="32"/>
          <w:highlight w:val="none"/>
          <w:lang w:val="en-US" w:eastAsia="zh-Hans"/>
        </w:rPr>
      </w:pPr>
      <w:r>
        <w:rPr>
          <w:rFonts w:hint="default" w:ascii="Times New Roman" w:hAnsi="Times New Roman" w:eastAsia="仿宋_GB2312" w:cs="Times New Roman"/>
          <w:kern w:val="0"/>
          <w:sz w:val="32"/>
          <w:szCs w:val="32"/>
          <w:highlight w:val="none"/>
          <w:lang w:val="en-US" w:eastAsia="zh-Hans"/>
        </w:rPr>
        <w:t>四、社会保险基金预算</w:t>
      </w:r>
      <w:r>
        <w:rPr>
          <w:rFonts w:hint="default" w:ascii="Times New Roman" w:hAnsi="Times New Roman" w:eastAsia="仿宋_GB2312" w:cs="Times New Roman"/>
          <w:kern w:val="0"/>
          <w:sz w:val="32"/>
          <w:szCs w:val="32"/>
          <w:highlight w:val="none"/>
          <w:lang w:val="en-US" w:eastAsia="zh-CN"/>
        </w:rPr>
        <w:t>公开</w:t>
      </w:r>
      <w:r>
        <w:rPr>
          <w:rFonts w:hint="default" w:ascii="Times New Roman" w:hAnsi="Times New Roman" w:eastAsia="仿宋_GB2312" w:cs="Times New Roman"/>
          <w:kern w:val="0"/>
          <w:sz w:val="32"/>
          <w:szCs w:val="32"/>
          <w:highlight w:val="none"/>
          <w:lang w:val="en-US" w:eastAsia="zh-Hans"/>
        </w:rPr>
        <w:t>表</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default" w:ascii="Times New Roman" w:hAnsi="Times New Roman" w:eastAsia="仿宋_GB2312" w:cs="Times New Roman"/>
          <w:b/>
          <w:kern w:val="0"/>
          <w:sz w:val="32"/>
          <w:szCs w:val="32"/>
          <w:highlight w:val="none"/>
          <w:lang w:val="en-US" w:eastAsia="zh-Hans"/>
        </w:rPr>
      </w:pPr>
      <w:r>
        <w:rPr>
          <w:rFonts w:hint="default" w:ascii="Times New Roman" w:hAnsi="Times New Roman" w:eastAsia="仿宋_GB2312" w:cs="Times New Roman"/>
          <w:b/>
          <w:kern w:val="0"/>
          <w:sz w:val="32"/>
          <w:szCs w:val="32"/>
          <w:highlight w:val="none"/>
          <w:lang w:val="en-US" w:eastAsia="zh-Hans"/>
        </w:rPr>
        <w:t>第三部分</w:t>
      </w:r>
      <w:r>
        <w:rPr>
          <w:rFonts w:hint="default" w:ascii="Times New Roman" w:hAnsi="Times New Roman" w:eastAsia="仿宋_GB2312" w:cs="Times New Roman"/>
          <w:b/>
          <w:kern w:val="0"/>
          <w:sz w:val="32"/>
          <w:szCs w:val="32"/>
          <w:highlight w:val="none"/>
          <w:lang w:eastAsia="zh-Hans"/>
        </w:rPr>
        <w:t xml:space="preserve"> </w:t>
      </w:r>
      <w:r>
        <w:rPr>
          <w:rFonts w:hint="default" w:ascii="Times New Roman" w:hAnsi="Times New Roman" w:eastAsia="仿宋_GB2312" w:cs="Times New Roman"/>
          <w:b/>
          <w:kern w:val="0"/>
          <w:sz w:val="32"/>
          <w:szCs w:val="32"/>
          <w:highlight w:val="none"/>
          <w:lang w:val="en-US" w:eastAsia="zh-CN"/>
        </w:rPr>
        <w:t>财政拨款</w:t>
      </w:r>
      <w:r>
        <w:rPr>
          <w:rFonts w:hint="default" w:ascii="Times New Roman" w:hAnsi="Times New Roman" w:eastAsia="仿宋_GB2312" w:cs="Times New Roman"/>
          <w:b/>
          <w:kern w:val="0"/>
          <w:sz w:val="32"/>
          <w:szCs w:val="32"/>
          <w:highlight w:val="none"/>
          <w:lang w:val="en-US" w:eastAsia="zh-Hans"/>
        </w:rPr>
        <w:t>“三公”经费预算情况说明</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default" w:ascii="Times New Roman" w:hAnsi="Times New Roman" w:eastAsia="仿宋_GB2312" w:cs="Times New Roman"/>
          <w:b/>
          <w:kern w:val="0"/>
          <w:sz w:val="32"/>
          <w:szCs w:val="32"/>
          <w:highlight w:val="none"/>
          <w:lang w:val="en-US" w:eastAsia="zh-Hans"/>
        </w:rPr>
      </w:pPr>
      <w:r>
        <w:rPr>
          <w:rFonts w:hint="default" w:ascii="Times New Roman" w:hAnsi="Times New Roman" w:eastAsia="仿宋_GB2312" w:cs="Times New Roman"/>
          <w:b/>
          <w:kern w:val="0"/>
          <w:sz w:val="32"/>
          <w:szCs w:val="32"/>
          <w:highlight w:val="none"/>
          <w:lang w:val="en-US" w:eastAsia="zh-Hans"/>
        </w:rPr>
        <w:t>第四部分</w:t>
      </w:r>
      <w:r>
        <w:rPr>
          <w:rFonts w:hint="default" w:ascii="Times New Roman" w:hAnsi="Times New Roman" w:eastAsia="仿宋_GB2312" w:cs="Times New Roman"/>
          <w:b/>
          <w:kern w:val="0"/>
          <w:sz w:val="32"/>
          <w:szCs w:val="32"/>
          <w:highlight w:val="none"/>
          <w:lang w:eastAsia="zh-Hans"/>
        </w:rPr>
        <w:t xml:space="preserve"> </w:t>
      </w:r>
      <w:r>
        <w:rPr>
          <w:rFonts w:hint="default" w:ascii="Times New Roman" w:hAnsi="Times New Roman" w:eastAsia="仿宋_GB2312" w:cs="Times New Roman"/>
          <w:b/>
          <w:kern w:val="0"/>
          <w:sz w:val="32"/>
          <w:szCs w:val="32"/>
          <w:highlight w:val="none"/>
          <w:lang w:val="en-US" w:eastAsia="zh-Hans"/>
        </w:rPr>
        <w:t>转移支付安排情况说明</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kern w:val="0"/>
          <w:sz w:val="32"/>
          <w:szCs w:val="32"/>
          <w:highlight w:val="none"/>
          <w:lang w:val="en-US" w:eastAsia="zh-Hans"/>
        </w:rPr>
      </w:pPr>
      <w:r>
        <w:rPr>
          <w:rFonts w:hint="default" w:ascii="Times New Roman" w:hAnsi="Times New Roman" w:eastAsia="仿宋_GB2312" w:cs="Times New Roman"/>
          <w:kern w:val="0"/>
          <w:sz w:val="32"/>
          <w:szCs w:val="32"/>
          <w:highlight w:val="none"/>
          <w:lang w:val="en-US" w:eastAsia="zh-Hans"/>
        </w:rPr>
        <w:t>一、一般公共预算对下转移支付情况说明</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kern w:val="0"/>
          <w:sz w:val="32"/>
          <w:szCs w:val="32"/>
          <w:highlight w:val="none"/>
          <w:lang w:val="en-US" w:eastAsia="zh-Hans"/>
        </w:rPr>
      </w:pPr>
      <w:r>
        <w:rPr>
          <w:rFonts w:hint="default" w:ascii="Times New Roman" w:hAnsi="Times New Roman" w:eastAsia="仿宋_GB2312" w:cs="Times New Roman"/>
          <w:kern w:val="0"/>
          <w:sz w:val="32"/>
          <w:szCs w:val="32"/>
          <w:highlight w:val="none"/>
          <w:lang w:val="en-US" w:eastAsia="zh-Hans"/>
        </w:rPr>
        <w:t>二、政府性基金预算对下转移支付情况</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kern w:val="0"/>
          <w:sz w:val="32"/>
          <w:szCs w:val="32"/>
          <w:highlight w:val="none"/>
          <w:lang w:val="en-US" w:eastAsia="zh-Hans"/>
        </w:rPr>
      </w:pPr>
      <w:r>
        <w:rPr>
          <w:rFonts w:hint="default" w:ascii="Times New Roman" w:hAnsi="Times New Roman" w:eastAsia="仿宋_GB2312" w:cs="Times New Roman"/>
          <w:kern w:val="0"/>
          <w:sz w:val="32"/>
          <w:szCs w:val="32"/>
          <w:highlight w:val="none"/>
          <w:lang w:val="en-US" w:eastAsia="zh-Hans"/>
        </w:rPr>
        <w:t>三、国有资本经营预算对下转移支付情况</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default" w:ascii="Times New Roman" w:hAnsi="Times New Roman" w:eastAsia="仿宋_GB2312" w:cs="Times New Roman"/>
          <w:b/>
          <w:kern w:val="0"/>
          <w:sz w:val="32"/>
          <w:szCs w:val="32"/>
          <w:highlight w:val="none"/>
          <w:lang w:val="en-US" w:eastAsia="zh-Hans"/>
        </w:rPr>
      </w:pPr>
      <w:r>
        <w:rPr>
          <w:rFonts w:hint="default" w:ascii="Times New Roman" w:hAnsi="Times New Roman" w:eastAsia="仿宋_GB2312" w:cs="Times New Roman"/>
          <w:b/>
          <w:kern w:val="0"/>
          <w:sz w:val="32"/>
          <w:szCs w:val="32"/>
          <w:highlight w:val="none"/>
          <w:lang w:val="en-US" w:eastAsia="zh-Hans"/>
        </w:rPr>
        <w:t>第五部分</w:t>
      </w:r>
      <w:r>
        <w:rPr>
          <w:rFonts w:hint="default" w:ascii="Times New Roman" w:hAnsi="Times New Roman" w:eastAsia="仿宋_GB2312" w:cs="Times New Roman"/>
          <w:b/>
          <w:kern w:val="0"/>
          <w:sz w:val="32"/>
          <w:szCs w:val="32"/>
          <w:highlight w:val="none"/>
          <w:lang w:eastAsia="zh-Hans"/>
        </w:rPr>
        <w:t xml:space="preserve"> </w:t>
      </w:r>
      <w:r>
        <w:rPr>
          <w:rFonts w:hint="default" w:ascii="Times New Roman" w:hAnsi="Times New Roman" w:eastAsia="仿宋_GB2312" w:cs="Times New Roman"/>
          <w:b/>
          <w:kern w:val="0"/>
          <w:sz w:val="32"/>
          <w:szCs w:val="32"/>
          <w:highlight w:val="none"/>
          <w:lang w:val="en-US" w:eastAsia="zh-Hans"/>
        </w:rPr>
        <w:t>地方政府债务公开情况说明</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default" w:ascii="Times New Roman" w:hAnsi="Times New Roman" w:eastAsia="仿宋_GB2312" w:cs="Times New Roman"/>
          <w:b/>
          <w:kern w:val="0"/>
          <w:sz w:val="32"/>
          <w:szCs w:val="32"/>
          <w:highlight w:val="none"/>
          <w:lang w:eastAsia="zh-Hans"/>
        </w:rPr>
      </w:pPr>
      <w:r>
        <w:rPr>
          <w:rFonts w:hint="default" w:ascii="Times New Roman" w:hAnsi="Times New Roman" w:eastAsia="仿宋_GB2312" w:cs="Times New Roman"/>
          <w:b/>
          <w:kern w:val="0"/>
          <w:sz w:val="32"/>
          <w:szCs w:val="32"/>
          <w:highlight w:val="none"/>
          <w:lang w:val="en-US" w:eastAsia="zh-Hans"/>
        </w:rPr>
        <w:t>第六部分</w:t>
      </w:r>
      <w:r>
        <w:rPr>
          <w:rFonts w:hint="default" w:ascii="Times New Roman" w:hAnsi="Times New Roman" w:eastAsia="仿宋_GB2312" w:cs="Times New Roman"/>
          <w:b/>
          <w:kern w:val="0"/>
          <w:sz w:val="32"/>
          <w:szCs w:val="32"/>
          <w:highlight w:val="none"/>
          <w:lang w:eastAsia="zh-Hans"/>
        </w:rPr>
        <w:t xml:space="preserve"> 财政衔接推进乡村振兴补助资金公开情况说明</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default" w:ascii="Times New Roman" w:hAnsi="Times New Roman" w:eastAsia="仿宋_GB2312" w:cs="Times New Roman"/>
          <w:b/>
          <w:kern w:val="0"/>
          <w:sz w:val="32"/>
          <w:szCs w:val="32"/>
          <w:highlight w:val="none"/>
          <w:lang w:eastAsia="zh-Hans"/>
        </w:rPr>
      </w:pPr>
      <w:r>
        <w:rPr>
          <w:rFonts w:hint="default" w:ascii="Times New Roman" w:hAnsi="Times New Roman" w:eastAsia="仿宋_GB2312" w:cs="Times New Roman"/>
          <w:b/>
          <w:kern w:val="0"/>
          <w:sz w:val="32"/>
          <w:szCs w:val="32"/>
          <w:highlight w:val="none"/>
          <w:lang w:val="en-US" w:eastAsia="zh-Hans"/>
        </w:rPr>
        <w:t>第七部分</w:t>
      </w:r>
      <w:r>
        <w:rPr>
          <w:rFonts w:hint="default" w:ascii="Times New Roman" w:hAnsi="Times New Roman" w:eastAsia="仿宋_GB2312" w:cs="Times New Roman"/>
          <w:b/>
          <w:kern w:val="0"/>
          <w:sz w:val="32"/>
          <w:szCs w:val="32"/>
          <w:highlight w:val="none"/>
          <w:lang w:eastAsia="zh-Hans"/>
        </w:rPr>
        <w:t xml:space="preserve"> </w:t>
      </w:r>
      <w:r>
        <w:rPr>
          <w:rFonts w:hint="default" w:ascii="Times New Roman" w:hAnsi="Times New Roman" w:eastAsia="仿宋_GB2312" w:cs="Times New Roman"/>
          <w:b/>
          <w:kern w:val="0"/>
          <w:sz w:val="32"/>
          <w:szCs w:val="32"/>
          <w:highlight w:val="none"/>
          <w:lang w:val="en-US" w:eastAsia="zh-Hans"/>
        </w:rPr>
        <w:t>本级汇总的预算绩效情况说明</w:t>
      </w:r>
      <w:r>
        <w:rPr>
          <w:rFonts w:hint="default" w:ascii="Times New Roman" w:hAnsi="Times New Roman" w:eastAsia="仿宋_GB2312" w:cs="Times New Roman"/>
          <w:b/>
          <w:kern w:val="0"/>
          <w:sz w:val="32"/>
          <w:szCs w:val="32"/>
          <w:highlight w:val="none"/>
          <w:lang w:eastAsia="zh-Hans"/>
        </w:rPr>
        <w:t xml:space="preserve"> </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default" w:ascii="Times New Roman" w:hAnsi="Times New Roman" w:eastAsia="仿宋_GB2312" w:cs="Times New Roman"/>
          <w:b/>
          <w:kern w:val="0"/>
          <w:sz w:val="32"/>
          <w:szCs w:val="32"/>
          <w:highlight w:val="none"/>
          <w:lang w:val="en-US" w:eastAsia="zh-Hans"/>
        </w:rPr>
      </w:pPr>
      <w:r>
        <w:rPr>
          <w:rFonts w:hint="default" w:ascii="Times New Roman" w:hAnsi="Times New Roman" w:eastAsia="仿宋_GB2312" w:cs="Times New Roman"/>
          <w:b/>
          <w:kern w:val="0"/>
          <w:sz w:val="32"/>
          <w:szCs w:val="32"/>
          <w:highlight w:val="none"/>
          <w:lang w:val="en-US" w:eastAsia="zh-Hans"/>
        </w:rPr>
        <w:t>第八部分</w:t>
      </w:r>
      <w:r>
        <w:rPr>
          <w:rFonts w:hint="default" w:ascii="Times New Roman" w:hAnsi="Times New Roman" w:eastAsia="仿宋_GB2312" w:cs="Times New Roman"/>
          <w:b/>
          <w:kern w:val="0"/>
          <w:sz w:val="32"/>
          <w:szCs w:val="32"/>
          <w:highlight w:val="none"/>
          <w:lang w:eastAsia="zh-Hans"/>
        </w:rPr>
        <w:t xml:space="preserve"> </w:t>
      </w:r>
      <w:r>
        <w:rPr>
          <w:rFonts w:hint="default" w:ascii="Times New Roman" w:hAnsi="Times New Roman" w:eastAsia="仿宋_GB2312" w:cs="Times New Roman"/>
          <w:b/>
          <w:kern w:val="0"/>
          <w:sz w:val="32"/>
          <w:szCs w:val="32"/>
          <w:highlight w:val="none"/>
          <w:lang w:val="en-US" w:eastAsia="zh-Hans"/>
        </w:rPr>
        <w:t>其他情况说明</w:t>
      </w:r>
    </w:p>
    <w:p>
      <w:pPr>
        <w:keepNext w:val="0"/>
        <w:keepLines w:val="0"/>
        <w:pageBreakBefore w:val="0"/>
        <w:kinsoku/>
        <w:wordWrap/>
        <w:overflowPunct/>
        <w:topLinePunct w:val="0"/>
        <w:autoSpaceDE w:val="0"/>
        <w:autoSpaceDN w:val="0"/>
        <w:bidi w:val="0"/>
        <w:adjustRightInd/>
        <w:snapToGrid/>
        <w:spacing w:before="0" w:after="0" w:line="266" w:lineRule="auto"/>
        <w:ind w:right="0" w:rightChars="0" w:firstLine="643" w:firstLineChars="200"/>
        <w:jc w:val="center"/>
        <w:textAlignment w:val="auto"/>
        <w:rPr>
          <w:rFonts w:hint="default" w:ascii="Times New Roman" w:hAnsi="Times New Roman" w:eastAsia="方正小标宋_GBK" w:cs="Times New Roman"/>
          <w:b/>
          <w:sz w:val="32"/>
          <w:highlight w:val="none"/>
        </w:rPr>
      </w:pPr>
    </w:p>
    <w:p>
      <w:pPr>
        <w:keepNext w:val="0"/>
        <w:keepLines w:val="0"/>
        <w:pageBreakBefore w:val="0"/>
        <w:kinsoku/>
        <w:wordWrap/>
        <w:overflowPunct/>
        <w:topLinePunct w:val="0"/>
        <w:autoSpaceDE w:val="0"/>
        <w:autoSpaceDN w:val="0"/>
        <w:bidi w:val="0"/>
        <w:adjustRightInd/>
        <w:snapToGrid/>
        <w:spacing w:before="0" w:after="0" w:line="266" w:lineRule="auto"/>
        <w:ind w:right="0" w:rightChars="0"/>
        <w:jc w:val="both"/>
        <w:textAlignment w:val="auto"/>
        <w:rPr>
          <w:rFonts w:hint="default" w:ascii="Times New Roman" w:hAnsi="Times New Roman" w:eastAsia="方正小标宋_GBK" w:cs="Times New Roman"/>
          <w:b/>
          <w:sz w:val="32"/>
          <w:highlight w:val="none"/>
        </w:rPr>
      </w:pPr>
    </w:p>
    <w:p>
      <w:pPr>
        <w:keepNext w:val="0"/>
        <w:keepLines w:val="0"/>
        <w:pageBreakBefore w:val="0"/>
        <w:kinsoku/>
        <w:wordWrap/>
        <w:overflowPunct/>
        <w:topLinePunct w:val="0"/>
        <w:autoSpaceDE w:val="0"/>
        <w:autoSpaceDN w:val="0"/>
        <w:bidi w:val="0"/>
        <w:adjustRightInd/>
        <w:snapToGrid/>
        <w:spacing w:before="0" w:after="0" w:line="266" w:lineRule="auto"/>
        <w:ind w:right="0" w:rightChars="0"/>
        <w:jc w:val="both"/>
        <w:textAlignment w:val="auto"/>
        <w:rPr>
          <w:rFonts w:hint="default" w:ascii="Times New Roman" w:hAnsi="Times New Roman" w:eastAsia="方正小标宋_GBK" w:cs="Times New Roman"/>
          <w:b/>
          <w:sz w:val="32"/>
          <w:highlight w:val="none"/>
        </w:rPr>
      </w:pPr>
    </w:p>
    <w:p>
      <w:pPr>
        <w:widowControl/>
        <w:jc w:val="center"/>
        <w:outlineLvl w:val="1"/>
        <w:rPr>
          <w:rFonts w:hint="default" w:ascii="Times New Roman" w:hAnsi="Times New Roman" w:eastAsia="黑体" w:cs="Times New Roman"/>
          <w:kern w:val="0"/>
          <w:sz w:val="32"/>
          <w:szCs w:val="32"/>
          <w:highlight w:val="none"/>
        </w:rPr>
        <w:sectPr>
          <w:footerReference r:id="rId4" w:type="default"/>
          <w:pgSz w:w="11906" w:h="16838"/>
          <w:pgMar w:top="2098" w:right="1531" w:bottom="1984" w:left="1531" w:header="851" w:footer="992" w:gutter="0"/>
          <w:pgNumType w:fmt="numberInDash" w:start="2"/>
          <w:cols w:space="720" w:num="1"/>
          <w:docGrid w:linePitch="312" w:charSpace="0"/>
        </w:sectPr>
      </w:pPr>
    </w:p>
    <w:p>
      <w:pPr>
        <w:widowControl/>
        <w:numPr>
          <w:ilvl w:val="0"/>
          <w:numId w:val="1"/>
        </w:numPr>
        <w:jc w:val="center"/>
        <w:outlineLvl w:val="1"/>
        <w:rPr>
          <w:rFonts w:hint="default" w:ascii="Times New Roman" w:hAnsi="Times New Roman" w:eastAsia="方正黑体_GBK" w:cs="Times New Roman"/>
          <w:kern w:val="0"/>
          <w:sz w:val="36"/>
          <w:szCs w:val="36"/>
          <w:highlight w:val="none"/>
          <w:lang w:val="en-US" w:eastAsia="zh-Hans"/>
        </w:rPr>
      </w:pPr>
      <w:r>
        <w:rPr>
          <w:rFonts w:hint="default" w:ascii="Times New Roman" w:hAnsi="Times New Roman" w:eastAsia="方正黑体_GBK" w:cs="Times New Roman"/>
          <w:kern w:val="0"/>
          <w:sz w:val="36"/>
          <w:szCs w:val="36"/>
          <w:highlight w:val="none"/>
          <w:lang w:val="en-US" w:eastAsia="zh-Hans"/>
        </w:rPr>
        <w:t>预算草案报告</w:t>
      </w:r>
    </w:p>
    <w:p>
      <w:pPr>
        <w:pStyle w:val="2"/>
        <w:rPr>
          <w:rFonts w:hint="default" w:ascii="Times New Roman" w:hAnsi="Times New Roman" w:eastAsia="方正黑体_GBK" w:cs="Times New Roman"/>
          <w:kern w:val="0"/>
          <w:sz w:val="36"/>
          <w:szCs w:val="36"/>
          <w:highlight w:val="none"/>
          <w:lang w:val="en-US" w:eastAsia="zh-Hans"/>
        </w:rPr>
      </w:pPr>
    </w:p>
    <w:p>
      <w:pPr>
        <w:rPr>
          <w:rFonts w:hint="default"/>
          <w:lang w:val="en-US" w:eastAsia="zh-Hans"/>
        </w:rPr>
      </w:pPr>
    </w:p>
    <w:p>
      <w:pPr>
        <w:adjustRightInd w:val="0"/>
        <w:snapToGrid w:val="0"/>
        <w:spacing w:line="560" w:lineRule="exact"/>
        <w:jc w:val="center"/>
        <w:textAlignment w:val="bottom"/>
        <w:rPr>
          <w:rFonts w:hint="eastAsia" w:ascii="方正小标宋_GBK" w:hAnsi="方正小标宋_GBK" w:eastAsia="方正小标宋_GBK" w:cs="方正小标宋_GBK"/>
          <w:b/>
          <w:bCs/>
          <w:spacing w:val="-4"/>
          <w:kern w:val="0"/>
          <w:sz w:val="44"/>
          <w:szCs w:val="44"/>
        </w:rPr>
      </w:pPr>
      <w:r>
        <w:rPr>
          <w:rFonts w:hint="eastAsia" w:ascii="方正小标宋_GBK" w:hAnsi="方正小标宋_GBK" w:eastAsia="方正小标宋_GBK" w:cs="方正小标宋_GBK"/>
          <w:b/>
          <w:bCs/>
          <w:spacing w:val="-4"/>
          <w:kern w:val="0"/>
          <w:sz w:val="44"/>
          <w:szCs w:val="44"/>
        </w:rPr>
        <w:t>关于</w:t>
      </w:r>
      <w:r>
        <w:rPr>
          <w:rFonts w:hint="eastAsia" w:ascii="方正小标宋_GBK" w:hAnsi="方正小标宋_GBK" w:eastAsia="方正小标宋_GBK" w:cs="方正小标宋_GBK"/>
          <w:b/>
          <w:bCs/>
          <w:spacing w:val="-4"/>
          <w:kern w:val="0"/>
          <w:sz w:val="44"/>
          <w:szCs w:val="44"/>
          <w:lang w:eastAsia="zh-CN"/>
        </w:rPr>
        <w:t>泽普县</w:t>
      </w:r>
      <w:r>
        <w:rPr>
          <w:rFonts w:hint="eastAsia" w:ascii="方正小标宋_GBK" w:hAnsi="方正小标宋_GBK" w:eastAsia="方正小标宋_GBK" w:cs="方正小标宋_GBK"/>
          <w:b/>
          <w:bCs/>
          <w:spacing w:val="-4"/>
          <w:kern w:val="0"/>
          <w:sz w:val="44"/>
          <w:szCs w:val="44"/>
          <w:lang w:val="en-US" w:eastAsia="zh-CN"/>
        </w:rPr>
        <w:t>2024</w:t>
      </w:r>
      <w:r>
        <w:rPr>
          <w:rFonts w:hint="eastAsia" w:ascii="方正小标宋_GBK" w:hAnsi="方正小标宋_GBK" w:eastAsia="方正小标宋_GBK" w:cs="方正小标宋_GBK"/>
          <w:b/>
          <w:bCs/>
          <w:spacing w:val="-4"/>
          <w:kern w:val="0"/>
          <w:sz w:val="44"/>
          <w:szCs w:val="44"/>
        </w:rPr>
        <w:t>年财政预算执行情况</w:t>
      </w:r>
    </w:p>
    <w:p>
      <w:pPr>
        <w:adjustRightInd w:val="0"/>
        <w:snapToGrid w:val="0"/>
        <w:spacing w:line="560" w:lineRule="exact"/>
        <w:jc w:val="center"/>
        <w:textAlignment w:val="bottom"/>
        <w:rPr>
          <w:rFonts w:hint="eastAsia" w:ascii="方正小标宋_GBK" w:hAnsi="方正小标宋_GBK" w:eastAsia="方正小标宋_GBK" w:cs="方正小标宋_GBK"/>
          <w:b/>
          <w:bCs/>
          <w:spacing w:val="-4"/>
          <w:kern w:val="0"/>
          <w:sz w:val="44"/>
          <w:szCs w:val="44"/>
        </w:rPr>
      </w:pPr>
      <w:r>
        <w:rPr>
          <w:rFonts w:hint="eastAsia" w:ascii="方正小标宋_GBK" w:hAnsi="方正小标宋_GBK" w:eastAsia="方正小标宋_GBK" w:cs="方正小标宋_GBK"/>
          <w:b/>
          <w:bCs/>
          <w:spacing w:val="-4"/>
          <w:kern w:val="0"/>
          <w:sz w:val="44"/>
          <w:szCs w:val="44"/>
        </w:rPr>
        <w:t>和2025年财政预算（草案）的报告</w:t>
      </w:r>
    </w:p>
    <w:p>
      <w:pPr>
        <w:adjustRightInd w:val="0"/>
        <w:snapToGrid w:val="0"/>
        <w:spacing w:line="560" w:lineRule="exact"/>
        <w:textAlignment w:val="bottom"/>
        <w:rPr>
          <w:rFonts w:hint="default" w:ascii="Times New Roman" w:hAnsi="Times New Roman" w:eastAsia="仿宋_GB2312" w:cs="Times New Roman"/>
          <w:spacing w:val="-4"/>
          <w:kern w:val="0"/>
          <w:sz w:val="24"/>
        </w:rPr>
      </w:pPr>
    </w:p>
    <w:p>
      <w:pPr>
        <w:keepNext w:val="0"/>
        <w:keepLines w:val="0"/>
        <w:pageBreakBefore w:val="0"/>
        <w:widowControl w:val="0"/>
        <w:kinsoku/>
        <w:wordWrap/>
        <w:overflowPunct/>
        <w:topLinePunct w:val="0"/>
        <w:autoSpaceDE/>
        <w:bidi w:val="0"/>
        <w:spacing w:line="620" w:lineRule="exact"/>
        <w:textAlignment w:val="auto"/>
        <w:rPr>
          <w:rFonts w:hint="default" w:ascii="Times New Roman" w:hAnsi="Times New Roman" w:eastAsia="方正仿宋_GBK" w:cs="Times New Roman"/>
          <w:sz w:val="32"/>
          <w:szCs w:val="32"/>
          <w:highlight w:val="none"/>
          <w:lang w:val="en-US" w:eastAsia="zh-CN"/>
        </w:rPr>
      </w:pPr>
      <w:r>
        <w:rPr>
          <w:rFonts w:hint="eastAsia" w:ascii="Times New Roman" w:hAnsi="Times New Roman" w:eastAsia="方正仿宋_GBK" w:cs="Times New Roman"/>
          <w:sz w:val="32"/>
          <w:szCs w:val="32"/>
          <w:highlight w:val="none"/>
          <w:lang w:val="en-US" w:eastAsia="zh-CN"/>
        </w:rPr>
        <w:t>--</w:t>
      </w:r>
      <w:r>
        <w:rPr>
          <w:rFonts w:hint="default" w:ascii="Times New Roman" w:hAnsi="Times New Roman" w:eastAsia="方正仿宋_GBK" w:cs="Times New Roman"/>
          <w:sz w:val="32"/>
          <w:szCs w:val="32"/>
          <w:highlight w:val="none"/>
          <w:lang w:val="en-US" w:eastAsia="zh-CN"/>
        </w:rPr>
        <w:t>2025年1月在泽普县第十七届人民代表大会第</w:t>
      </w:r>
      <w:r>
        <w:rPr>
          <w:rFonts w:hint="eastAsia" w:ascii="Times New Roman" w:hAnsi="Times New Roman" w:eastAsia="方正仿宋_GBK" w:cs="Times New Roman"/>
          <w:sz w:val="32"/>
          <w:szCs w:val="32"/>
          <w:highlight w:val="none"/>
          <w:lang w:val="en-US" w:eastAsia="zh-CN"/>
        </w:rPr>
        <w:t>六</w:t>
      </w:r>
      <w:r>
        <w:rPr>
          <w:rFonts w:hint="default" w:ascii="Times New Roman" w:hAnsi="Times New Roman" w:eastAsia="方正仿宋_GBK" w:cs="Times New Roman"/>
          <w:sz w:val="32"/>
          <w:szCs w:val="32"/>
          <w:highlight w:val="none"/>
          <w:lang w:val="en-US" w:eastAsia="zh-CN"/>
        </w:rPr>
        <w:t>次会议上</w:t>
      </w:r>
    </w:p>
    <w:p>
      <w:pPr>
        <w:keepNext w:val="0"/>
        <w:keepLines w:val="0"/>
        <w:pageBreakBefore w:val="0"/>
        <w:widowControl w:val="0"/>
        <w:kinsoku/>
        <w:wordWrap/>
        <w:overflowPunct/>
        <w:topLinePunct w:val="0"/>
        <w:autoSpaceDE/>
        <w:bidi w:val="0"/>
        <w:spacing w:line="620" w:lineRule="exact"/>
        <w:textAlignment w:val="auto"/>
        <w:rPr>
          <w:rFonts w:hint="default" w:ascii="Times New Roman" w:hAnsi="Times New Roman" w:eastAsia="方正仿宋_GBK" w:cs="Times New Roman"/>
          <w:sz w:val="32"/>
          <w:szCs w:val="32"/>
          <w:highlight w:val="none"/>
          <w:lang w:val="en-US" w:eastAsia="zh-CN"/>
        </w:rPr>
      </w:pPr>
    </w:p>
    <w:p>
      <w:pPr>
        <w:keepNext w:val="0"/>
        <w:keepLines w:val="0"/>
        <w:pageBreakBefore w:val="0"/>
        <w:widowControl w:val="0"/>
        <w:kinsoku/>
        <w:wordWrap/>
        <w:overflowPunct/>
        <w:topLinePunct w:val="0"/>
        <w:autoSpaceDE/>
        <w:bidi w:val="0"/>
        <w:spacing w:line="620" w:lineRule="exact"/>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 xml:space="preserve">各位代表： </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Hans"/>
        </w:rPr>
      </w:pPr>
      <w:r>
        <w:rPr>
          <w:rFonts w:hint="default" w:ascii="Times New Roman" w:hAnsi="Times New Roman" w:eastAsia="方正仿宋_GBK" w:cs="Times New Roman"/>
          <w:sz w:val="32"/>
          <w:szCs w:val="32"/>
          <w:highlight w:val="none"/>
          <w:lang w:val="en-US" w:eastAsia="zh-CN"/>
        </w:rPr>
        <w:t>受泽普县人民政府委托，向大会作</w:t>
      </w:r>
      <w:r>
        <w:rPr>
          <w:rFonts w:hint="eastAsia" w:ascii="Times New Roman" w:hAnsi="Times New Roman" w:eastAsia="方正仿宋_GBK" w:cs="Times New Roman"/>
          <w:sz w:val="32"/>
          <w:szCs w:val="32"/>
          <w:highlight w:val="none"/>
          <w:lang w:val="en-US" w:eastAsia="zh-CN"/>
        </w:rPr>
        <w:t>出</w:t>
      </w:r>
      <w:r>
        <w:rPr>
          <w:rFonts w:hint="default" w:ascii="Times New Roman" w:hAnsi="Times New Roman" w:eastAsia="方正仿宋_GBK" w:cs="Times New Roman"/>
          <w:sz w:val="32"/>
          <w:szCs w:val="32"/>
          <w:highlight w:val="none"/>
          <w:lang w:val="en-US" w:eastAsia="zh-CN"/>
        </w:rPr>
        <w:t>关于</w:t>
      </w:r>
      <w:r>
        <w:rPr>
          <w:rFonts w:hint="eastAsia" w:ascii="Times New Roman" w:hAnsi="Times New Roman" w:eastAsia="方正仿宋_GBK" w:cs="Times New Roman"/>
          <w:sz w:val="32"/>
          <w:szCs w:val="32"/>
          <w:highlight w:val="none"/>
          <w:lang w:val="en-US" w:eastAsia="zh-CN"/>
        </w:rPr>
        <w:t>泽普县2024年财政预算执行情况和</w:t>
      </w:r>
      <w:r>
        <w:rPr>
          <w:rFonts w:hint="default" w:ascii="Times New Roman" w:hAnsi="Times New Roman" w:eastAsia="方正仿宋_GBK" w:cs="Times New Roman"/>
          <w:sz w:val="32"/>
          <w:szCs w:val="32"/>
          <w:highlight w:val="none"/>
          <w:lang w:val="en-US" w:eastAsia="zh-CN"/>
        </w:rPr>
        <w:t xml:space="preserve">2025年财政预算（草案）的报告，请予审议，并请各位政协委员和列席会议的同志提出意见。 </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val="en-US" w:eastAsia="zh-CN"/>
        </w:rPr>
        <w:t>2024年在县委的正确领导下，在县人大、县政协依法监督指导和支持下，财政部门坚持以习近平新时代中国特色社会主义思想为指导，紧紧围绕党的二十大精神、</w:t>
      </w:r>
      <w:r>
        <w:rPr>
          <w:rFonts w:hint="eastAsia" w:eastAsia="方正仿宋_GBK" w:cs="Times New Roman"/>
          <w:sz w:val="32"/>
          <w:szCs w:val="32"/>
          <w:highlight w:val="none"/>
          <w:lang w:val="en-US" w:eastAsia="zh-CN"/>
        </w:rPr>
        <w:t>党的</w:t>
      </w:r>
      <w:r>
        <w:rPr>
          <w:rFonts w:hint="default" w:ascii="Times New Roman" w:hAnsi="Times New Roman" w:eastAsia="方正仿宋_GBK" w:cs="Times New Roman"/>
          <w:sz w:val="32"/>
          <w:szCs w:val="32"/>
          <w:highlight w:val="none"/>
          <w:lang w:val="en-US" w:eastAsia="zh-CN"/>
        </w:rPr>
        <w:t>二十届三中全会精神和自治区党委、地委、县委有关会议精神，严格执行县第十七届人大第</w:t>
      </w:r>
      <w:r>
        <w:rPr>
          <w:rFonts w:hint="eastAsia" w:eastAsia="方正仿宋_GBK" w:cs="Times New Roman"/>
          <w:sz w:val="32"/>
          <w:szCs w:val="32"/>
          <w:highlight w:val="none"/>
          <w:lang w:val="en-US" w:eastAsia="zh-CN"/>
        </w:rPr>
        <w:t>六</w:t>
      </w:r>
      <w:r>
        <w:rPr>
          <w:rFonts w:hint="default" w:ascii="Times New Roman" w:hAnsi="Times New Roman" w:eastAsia="方正仿宋_GBK" w:cs="Times New Roman"/>
          <w:sz w:val="32"/>
          <w:szCs w:val="32"/>
          <w:highlight w:val="none"/>
          <w:lang w:val="en-US" w:eastAsia="zh-CN"/>
        </w:rPr>
        <w:t>次会议批准的财政预算和各项工作目标，坚持稳字当头、稳中求进，稳步推进各项财政改革和财政管理工作，实现了县域经济社会高质量发展。</w:t>
      </w:r>
      <w:r>
        <w:rPr>
          <w:rFonts w:hint="eastAsia" w:eastAsia="方正仿宋_GBK" w:cs="Times New Roman"/>
          <w:sz w:val="32"/>
          <w:szCs w:val="32"/>
          <w:highlight w:val="none"/>
          <w:lang w:val="en-US" w:eastAsia="zh-CN"/>
        </w:rPr>
        <w:t>同时</w:t>
      </w:r>
      <w:r>
        <w:rPr>
          <w:rFonts w:hint="default" w:ascii="Times New Roman" w:hAnsi="Times New Roman" w:eastAsia="方正仿宋_GBK" w:cs="Times New Roman"/>
          <w:sz w:val="32"/>
          <w:szCs w:val="32"/>
          <w:highlight w:val="none"/>
        </w:rPr>
        <w:t>根据《中华人民共和国预算法》规定，</w:t>
      </w:r>
      <w:r>
        <w:rPr>
          <w:rFonts w:hint="eastAsia" w:eastAsia="方正仿宋_GBK" w:cs="Times New Roman"/>
          <w:sz w:val="32"/>
          <w:szCs w:val="32"/>
          <w:highlight w:val="none"/>
          <w:lang w:eastAsia="zh-CN"/>
        </w:rPr>
        <w:t>并</w:t>
      </w:r>
      <w:r>
        <w:rPr>
          <w:rFonts w:hint="default" w:ascii="Times New Roman" w:hAnsi="Times New Roman" w:eastAsia="方正仿宋_GBK" w:cs="Times New Roman"/>
          <w:sz w:val="32"/>
          <w:szCs w:val="32"/>
          <w:highlight w:val="none"/>
        </w:rPr>
        <w:t>结合实际可用财力，</w:t>
      </w:r>
      <w:r>
        <w:rPr>
          <w:rFonts w:hint="eastAsia" w:eastAsia="方正仿宋_GBK" w:cs="Times New Roman"/>
          <w:sz w:val="32"/>
          <w:szCs w:val="32"/>
          <w:highlight w:val="none"/>
          <w:lang w:eastAsia="zh-CN"/>
        </w:rPr>
        <w:t>现对</w:t>
      </w:r>
      <w:r>
        <w:rPr>
          <w:rFonts w:hint="default" w:ascii="Times New Roman" w:hAnsi="Times New Roman" w:eastAsia="方正仿宋_GBK" w:cs="Times New Roman"/>
          <w:sz w:val="32"/>
          <w:szCs w:val="32"/>
          <w:highlight w:val="none"/>
          <w:lang w:eastAsia="zh-CN"/>
        </w:rPr>
        <w:t>2025年</w:t>
      </w:r>
      <w:r>
        <w:rPr>
          <w:rFonts w:hint="default" w:ascii="Times New Roman" w:hAnsi="Times New Roman" w:eastAsia="方正仿宋_GBK" w:cs="Times New Roman"/>
          <w:sz w:val="32"/>
          <w:szCs w:val="32"/>
          <w:highlight w:val="none"/>
        </w:rPr>
        <w:t>财政收支预算安排</w:t>
      </w:r>
      <w:r>
        <w:rPr>
          <w:rFonts w:hint="eastAsia" w:eastAsia="方正仿宋_GBK" w:cs="Times New Roman"/>
          <w:sz w:val="32"/>
          <w:szCs w:val="32"/>
          <w:highlight w:val="none"/>
          <w:lang w:eastAsia="zh-CN"/>
        </w:rPr>
        <w:t>汇报</w:t>
      </w:r>
      <w:r>
        <w:rPr>
          <w:rFonts w:hint="default" w:ascii="Times New Roman" w:hAnsi="Times New Roman" w:eastAsia="方正仿宋_GBK" w:cs="Times New Roman"/>
          <w:sz w:val="32"/>
          <w:szCs w:val="32"/>
          <w:highlight w:val="none"/>
        </w:rPr>
        <w:t xml:space="preserve">如下： </w:t>
      </w:r>
    </w:p>
    <w:p>
      <w:pPr>
        <w:pStyle w:val="2"/>
        <w:rPr>
          <w:rFonts w:hint="default"/>
        </w:rPr>
      </w:pPr>
    </w:p>
    <w:p>
      <w:pPr>
        <w:pStyle w:val="2"/>
        <w:rPr>
          <w:rFonts w:hint="eastAsia" w:eastAsia="宋体"/>
          <w:lang w:val="en-US" w:eastAsia="zh-CN"/>
        </w:rPr>
      </w:pPr>
      <w:r>
        <w:rPr>
          <w:rFonts w:hint="eastAsia"/>
          <w:lang w:val="en-US" w:eastAsia="zh-CN"/>
        </w:rPr>
        <w:t xml:space="preserve"> </w:t>
      </w:r>
    </w:p>
    <w:p>
      <w:pPr>
        <w:keepNext w:val="0"/>
        <w:keepLines w:val="0"/>
        <w:pageBreakBefore w:val="0"/>
        <w:widowControl w:val="0"/>
        <w:kinsoku/>
        <w:wordWrap/>
        <w:overflowPunct/>
        <w:topLinePunct w:val="0"/>
        <w:autoSpaceDE/>
        <w:bidi w:val="0"/>
        <w:spacing w:line="620" w:lineRule="exact"/>
        <w:ind w:firstLine="616" w:firstLineChars="200"/>
        <w:textAlignment w:val="auto"/>
        <w:rPr>
          <w:rFonts w:hint="default" w:ascii="Times New Roman" w:hAnsi="Times New Roman" w:eastAsia="方正楷体_GBK" w:cs="Times New Roman"/>
          <w:b/>
          <w:spacing w:val="-6"/>
          <w:sz w:val="32"/>
          <w:szCs w:val="32"/>
          <w:highlight w:val="none"/>
          <w:lang w:eastAsia="zh-CN"/>
        </w:rPr>
      </w:pPr>
      <w:bookmarkStart w:id="0" w:name="OLE_LINK1"/>
    </w:p>
    <w:p>
      <w:pPr>
        <w:keepNext w:val="0"/>
        <w:keepLines w:val="0"/>
        <w:pageBreakBefore w:val="0"/>
        <w:widowControl w:val="0"/>
        <w:kinsoku/>
        <w:wordWrap/>
        <w:overflowPunct/>
        <w:topLinePunct w:val="0"/>
        <w:autoSpaceDE/>
        <w:bidi w:val="0"/>
        <w:spacing w:line="620" w:lineRule="exact"/>
        <w:ind w:firstLine="616" w:firstLineChars="200"/>
        <w:textAlignment w:val="auto"/>
        <w:rPr>
          <w:rFonts w:hint="default" w:ascii="Times New Roman" w:hAnsi="Times New Roman" w:eastAsia="方正楷体_GBK" w:cs="Times New Roman"/>
          <w:b/>
          <w:spacing w:val="-6"/>
          <w:sz w:val="32"/>
          <w:szCs w:val="32"/>
          <w:highlight w:val="none"/>
          <w:lang w:eastAsia="zh-CN"/>
        </w:rPr>
      </w:pPr>
      <w:r>
        <w:rPr>
          <w:rFonts w:hint="default" w:ascii="Times New Roman" w:hAnsi="Times New Roman" w:eastAsia="方正楷体_GBK" w:cs="Times New Roman"/>
          <w:b/>
          <w:spacing w:val="-6"/>
          <w:sz w:val="32"/>
          <w:szCs w:val="32"/>
          <w:highlight w:val="none"/>
          <w:lang w:eastAsia="zh-CN"/>
        </w:rPr>
        <w:t>（一）一般公共预算情况</w:t>
      </w:r>
    </w:p>
    <w:p>
      <w:pPr>
        <w:keepNext w:val="0"/>
        <w:keepLines w:val="0"/>
        <w:pageBreakBefore w:val="0"/>
        <w:widowControl w:val="0"/>
        <w:kinsoku/>
        <w:wordWrap/>
        <w:overflowPunct/>
        <w:topLinePunct w:val="0"/>
        <w:autoSpaceDE/>
        <w:bidi w:val="0"/>
        <w:spacing w:line="620" w:lineRule="exact"/>
        <w:ind w:firstLine="619" w:firstLineChars="200"/>
        <w:textAlignment w:val="auto"/>
        <w:rPr>
          <w:rFonts w:hint="default" w:ascii="Times New Roman" w:hAnsi="Times New Roman" w:eastAsia="方正仿宋_GBK" w:cs="Times New Roman"/>
          <w:b/>
          <w:spacing w:val="-6"/>
          <w:sz w:val="32"/>
          <w:szCs w:val="32"/>
          <w:highlight w:val="none"/>
        </w:rPr>
      </w:pPr>
      <w:r>
        <w:rPr>
          <w:rFonts w:hint="default" w:ascii="Times New Roman" w:hAnsi="Times New Roman" w:eastAsia="方正仿宋_GBK" w:cs="Times New Roman"/>
          <w:b/>
          <w:spacing w:val="-6"/>
          <w:sz w:val="32"/>
          <w:szCs w:val="32"/>
          <w:highlight w:val="none"/>
        </w:rPr>
        <w:t>1</w:t>
      </w:r>
      <w:r>
        <w:rPr>
          <w:rFonts w:hint="default" w:ascii="Times New Roman" w:hAnsi="Times New Roman" w:eastAsia="方正仿宋_GBK" w:cs="Times New Roman"/>
          <w:b/>
          <w:spacing w:val="-6"/>
          <w:sz w:val="32"/>
          <w:szCs w:val="32"/>
          <w:highlight w:val="none"/>
          <w:lang w:val="en-US" w:eastAsia="zh-CN"/>
        </w:rPr>
        <w:t>.</w:t>
      </w:r>
      <w:r>
        <w:rPr>
          <w:rFonts w:hint="default" w:ascii="Times New Roman" w:hAnsi="Times New Roman" w:eastAsia="方正仿宋_GBK" w:cs="Times New Roman"/>
          <w:b/>
          <w:spacing w:val="-6"/>
          <w:sz w:val="32"/>
          <w:szCs w:val="32"/>
          <w:highlight w:val="none"/>
          <w:lang w:eastAsia="zh-CN"/>
        </w:rPr>
        <w:t>2025年</w:t>
      </w:r>
      <w:r>
        <w:rPr>
          <w:rFonts w:hint="default" w:ascii="Times New Roman" w:hAnsi="Times New Roman" w:eastAsia="方正仿宋_GBK" w:cs="Times New Roman"/>
          <w:b/>
          <w:spacing w:val="-6"/>
          <w:sz w:val="32"/>
          <w:szCs w:val="32"/>
          <w:highlight w:val="none"/>
        </w:rPr>
        <w:t>公共财政预算总财力为</w:t>
      </w:r>
      <w:r>
        <w:rPr>
          <w:rFonts w:hint="default" w:ascii="Times New Roman" w:hAnsi="Times New Roman" w:eastAsia="方正仿宋_GBK" w:cs="Times New Roman"/>
          <w:b/>
          <w:bCs/>
          <w:sz w:val="32"/>
          <w:szCs w:val="32"/>
          <w:highlight w:val="none"/>
          <w:lang w:val="en-US" w:eastAsia="zh-CN"/>
        </w:rPr>
        <w:t>307573</w:t>
      </w:r>
      <w:r>
        <w:rPr>
          <w:rFonts w:hint="default" w:ascii="Times New Roman" w:hAnsi="Times New Roman" w:eastAsia="方正仿宋_GBK" w:cs="Times New Roman"/>
          <w:b/>
          <w:spacing w:val="-6"/>
          <w:sz w:val="32"/>
          <w:szCs w:val="32"/>
          <w:highlight w:val="none"/>
        </w:rPr>
        <w:t>万元，具体为：</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（1）本级收入2025年收入按照2024年预算收入34756万元增长10%计算，既38233万元，自治区、地区税收及非税收入分成后测算一般公共预算收入2806</w:t>
      </w:r>
      <w:r>
        <w:rPr>
          <w:rFonts w:hint="default" w:ascii="Times New Roman" w:hAnsi="Times New Roman" w:eastAsia="方正仿宋_GBK" w:cs="Times New Roman"/>
          <w:sz w:val="32"/>
          <w:szCs w:val="32"/>
          <w:highlight w:val="none"/>
          <w:lang w:val="en-US" w:eastAsia="zh-CN"/>
        </w:rPr>
        <w:t>0</w:t>
      </w:r>
      <w:r>
        <w:rPr>
          <w:rFonts w:hint="default" w:ascii="Times New Roman" w:hAnsi="Times New Roman" w:eastAsia="方正仿宋_GBK" w:cs="Times New Roman"/>
          <w:sz w:val="32"/>
          <w:szCs w:val="32"/>
          <w:highlight w:val="none"/>
        </w:rPr>
        <w:t>万元，其中：税收收入预计完成173</w:t>
      </w:r>
      <w:r>
        <w:rPr>
          <w:rFonts w:hint="default" w:ascii="Times New Roman" w:hAnsi="Times New Roman" w:eastAsia="方正仿宋_GBK" w:cs="Times New Roman"/>
          <w:sz w:val="32"/>
          <w:szCs w:val="32"/>
          <w:highlight w:val="none"/>
          <w:lang w:val="en-US" w:eastAsia="zh-CN"/>
        </w:rPr>
        <w:t>68</w:t>
      </w:r>
      <w:r>
        <w:rPr>
          <w:rFonts w:hint="default" w:ascii="Times New Roman" w:hAnsi="Times New Roman" w:eastAsia="方正仿宋_GBK" w:cs="Times New Roman"/>
          <w:sz w:val="32"/>
          <w:szCs w:val="32"/>
          <w:highlight w:val="none"/>
        </w:rPr>
        <w:t>万元；非税收入预计完成1069</w:t>
      </w:r>
      <w:r>
        <w:rPr>
          <w:rFonts w:hint="default" w:ascii="Times New Roman" w:hAnsi="Times New Roman" w:eastAsia="方正仿宋_GBK" w:cs="Times New Roman"/>
          <w:sz w:val="32"/>
          <w:szCs w:val="32"/>
          <w:highlight w:val="none"/>
          <w:lang w:val="en-US" w:eastAsia="zh-CN"/>
        </w:rPr>
        <w:t>2</w:t>
      </w:r>
      <w:r>
        <w:rPr>
          <w:rFonts w:hint="default" w:ascii="Times New Roman" w:hAnsi="Times New Roman" w:eastAsia="方正仿宋_GBK" w:cs="Times New Roman"/>
          <w:sz w:val="32"/>
          <w:szCs w:val="32"/>
          <w:highlight w:val="none"/>
        </w:rPr>
        <w:t>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2</w:t>
      </w: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上级补助收入12</w:t>
      </w:r>
      <w:r>
        <w:rPr>
          <w:rFonts w:hint="default" w:ascii="Times New Roman" w:hAnsi="Times New Roman" w:eastAsia="方正仿宋_GBK" w:cs="Times New Roman"/>
          <w:sz w:val="32"/>
          <w:szCs w:val="32"/>
          <w:highlight w:val="none"/>
          <w:lang w:val="en-US" w:eastAsia="zh-CN"/>
        </w:rPr>
        <w:t>6969</w:t>
      </w:r>
      <w:r>
        <w:rPr>
          <w:rFonts w:hint="default" w:ascii="Times New Roman" w:hAnsi="Times New Roman" w:eastAsia="方正仿宋_GBK" w:cs="Times New Roman"/>
          <w:sz w:val="32"/>
          <w:szCs w:val="32"/>
          <w:highlight w:val="none"/>
        </w:rPr>
        <w:t>万元</w:t>
      </w: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其中：①返还性收入1306万元</w:t>
      </w: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②体制补助收入</w:t>
      </w:r>
      <w:r>
        <w:rPr>
          <w:rFonts w:hint="default" w:ascii="Times New Roman" w:hAnsi="Times New Roman" w:eastAsia="方正仿宋_GBK" w:cs="Times New Roman"/>
          <w:sz w:val="32"/>
          <w:szCs w:val="32"/>
          <w:highlight w:val="none"/>
          <w:lang w:val="en-US" w:eastAsia="zh-CN"/>
        </w:rPr>
        <w:t>10287</w:t>
      </w:r>
      <w:r>
        <w:rPr>
          <w:rFonts w:hint="default" w:ascii="Times New Roman" w:hAnsi="Times New Roman" w:eastAsia="方正仿宋_GBK" w:cs="Times New Roman"/>
          <w:sz w:val="32"/>
          <w:szCs w:val="32"/>
          <w:highlight w:val="none"/>
        </w:rPr>
        <w:t>万元</w:t>
      </w: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③均衡性转移支付收入2</w:t>
      </w:r>
      <w:r>
        <w:rPr>
          <w:rFonts w:hint="default" w:ascii="Times New Roman" w:hAnsi="Times New Roman" w:eastAsia="方正仿宋_GBK" w:cs="Times New Roman"/>
          <w:sz w:val="32"/>
          <w:szCs w:val="32"/>
          <w:highlight w:val="none"/>
          <w:lang w:val="en-US" w:eastAsia="zh-CN"/>
        </w:rPr>
        <w:t>5790</w:t>
      </w:r>
      <w:r>
        <w:rPr>
          <w:rFonts w:hint="default" w:ascii="Times New Roman" w:hAnsi="Times New Roman" w:eastAsia="方正仿宋_GBK" w:cs="Times New Roman"/>
          <w:sz w:val="32"/>
          <w:szCs w:val="32"/>
          <w:highlight w:val="none"/>
        </w:rPr>
        <w:t>万元</w:t>
      </w: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④2010年农村义务教育学校绩效工资转移支付资金（新财预[2010]80号）328万元；⑤固定数额补助64436万元；⑥农林水共同事权转移支付169万元；⑦重点生态功能区补助收入7650万元（2025年提前预告知）；⑧县级基本财力保障机制奖补资金17004万元（2025年提前预告知）；</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3</w:t>
      </w: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提前预告知专项资金</w:t>
      </w:r>
      <w:r>
        <w:rPr>
          <w:rFonts w:hint="default" w:ascii="Times New Roman" w:hAnsi="Times New Roman" w:eastAsia="方正仿宋_GBK" w:cs="Times New Roman"/>
          <w:sz w:val="32"/>
          <w:szCs w:val="32"/>
          <w:highlight w:val="none"/>
          <w:lang w:val="en-US" w:eastAsia="zh-CN"/>
        </w:rPr>
        <w:t>101280</w:t>
      </w:r>
      <w:r>
        <w:rPr>
          <w:rFonts w:hint="default" w:ascii="Times New Roman" w:hAnsi="Times New Roman" w:eastAsia="方正仿宋_GBK" w:cs="Times New Roman"/>
          <w:sz w:val="32"/>
          <w:szCs w:val="32"/>
          <w:highlight w:val="none"/>
        </w:rPr>
        <w:t>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4</w:t>
      </w: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基金收入调入公共财政</w:t>
      </w:r>
      <w:r>
        <w:rPr>
          <w:rFonts w:hint="default" w:ascii="Times New Roman" w:hAnsi="Times New Roman" w:eastAsia="方正仿宋_GBK" w:cs="Times New Roman"/>
          <w:sz w:val="32"/>
          <w:szCs w:val="32"/>
          <w:highlight w:val="none"/>
          <w:lang w:val="en-US" w:eastAsia="zh-CN"/>
        </w:rPr>
        <w:t>38240</w:t>
      </w:r>
      <w:r>
        <w:rPr>
          <w:rFonts w:hint="default" w:ascii="Times New Roman" w:hAnsi="Times New Roman" w:eastAsia="方正仿宋_GBK" w:cs="Times New Roman"/>
          <w:sz w:val="32"/>
          <w:szCs w:val="32"/>
          <w:highlight w:val="none"/>
        </w:rPr>
        <w:t>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5</w:t>
      </w: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国有资本调入公共财政</w:t>
      </w:r>
      <w:r>
        <w:rPr>
          <w:rFonts w:hint="default" w:ascii="Times New Roman" w:hAnsi="Times New Roman" w:eastAsia="方正仿宋_GBK" w:cs="Times New Roman"/>
          <w:sz w:val="32"/>
          <w:szCs w:val="32"/>
          <w:highlight w:val="none"/>
          <w:lang w:val="en-US" w:eastAsia="zh-CN"/>
        </w:rPr>
        <w:t>513</w:t>
      </w:r>
      <w:r>
        <w:rPr>
          <w:rFonts w:hint="default" w:ascii="Times New Roman" w:hAnsi="Times New Roman" w:eastAsia="方正仿宋_GBK" w:cs="Times New Roman"/>
          <w:sz w:val="32"/>
          <w:szCs w:val="32"/>
          <w:highlight w:val="none"/>
        </w:rPr>
        <w:t>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6</w:t>
      </w: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债务转贷（借新还旧）0万元；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7</w:t>
      </w: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专项结转</w:t>
      </w:r>
      <w:r>
        <w:rPr>
          <w:rFonts w:hint="default" w:ascii="Times New Roman" w:hAnsi="Times New Roman" w:eastAsia="方正仿宋_GBK" w:cs="Times New Roman"/>
          <w:sz w:val="32"/>
          <w:szCs w:val="32"/>
          <w:highlight w:val="none"/>
          <w:lang w:val="en-US" w:eastAsia="zh-CN"/>
        </w:rPr>
        <w:t>12361</w:t>
      </w:r>
      <w:r>
        <w:rPr>
          <w:rFonts w:hint="default" w:ascii="Times New Roman" w:hAnsi="Times New Roman" w:eastAsia="方正仿宋_GBK" w:cs="Times New Roman"/>
          <w:sz w:val="32"/>
          <w:szCs w:val="32"/>
          <w:highlight w:val="none"/>
        </w:rPr>
        <w:t>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8</w:t>
      </w: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动用预算稳定调节基金</w:t>
      </w:r>
      <w:r>
        <w:rPr>
          <w:rFonts w:hint="default" w:ascii="Times New Roman" w:hAnsi="Times New Roman" w:eastAsia="方正仿宋_GBK" w:cs="Times New Roman"/>
          <w:sz w:val="32"/>
          <w:szCs w:val="32"/>
          <w:highlight w:val="none"/>
          <w:lang w:val="en-US" w:eastAsia="zh-CN"/>
        </w:rPr>
        <w:t>150</w:t>
      </w:r>
      <w:r>
        <w:rPr>
          <w:rFonts w:hint="default" w:ascii="Times New Roman" w:hAnsi="Times New Roman" w:eastAsia="方正仿宋_GBK" w:cs="Times New Roman"/>
          <w:sz w:val="32"/>
          <w:szCs w:val="32"/>
          <w:highlight w:val="none"/>
        </w:rPr>
        <w:t>万元；</w:t>
      </w:r>
    </w:p>
    <w:p>
      <w:pPr>
        <w:pStyle w:val="2"/>
        <w:rPr>
          <w:rFonts w:hint="default" w:ascii="Times New Roman" w:hAnsi="Times New Roman" w:eastAsia="方正仿宋_GBK" w:cs="Times New Roman"/>
          <w:sz w:val="32"/>
          <w:szCs w:val="32"/>
          <w:highlight w:val="none"/>
        </w:rPr>
      </w:pPr>
    </w:p>
    <w:bookmarkEnd w:id="0"/>
    <w:p>
      <w:pPr>
        <w:keepNext w:val="0"/>
        <w:keepLines w:val="0"/>
        <w:pageBreakBefore w:val="0"/>
        <w:widowControl w:val="0"/>
        <w:kinsoku/>
        <w:wordWrap/>
        <w:overflowPunct/>
        <w:topLinePunct w:val="0"/>
        <w:autoSpaceDE/>
        <w:bidi w:val="0"/>
        <w:spacing w:line="620" w:lineRule="exact"/>
        <w:ind w:firstLine="619" w:firstLineChars="200"/>
        <w:textAlignment w:val="auto"/>
        <w:rPr>
          <w:rFonts w:hint="default" w:ascii="Times New Roman" w:hAnsi="Times New Roman" w:eastAsia="方正仿宋_GBK" w:cs="Times New Roman"/>
          <w:b/>
          <w:spacing w:val="-6"/>
          <w:sz w:val="32"/>
          <w:szCs w:val="32"/>
          <w:highlight w:val="none"/>
        </w:rPr>
      </w:pPr>
      <w:r>
        <w:rPr>
          <w:rFonts w:hint="default" w:ascii="Times New Roman" w:hAnsi="Times New Roman" w:eastAsia="方正仿宋_GBK" w:cs="Times New Roman"/>
          <w:b/>
          <w:spacing w:val="-6"/>
          <w:sz w:val="32"/>
          <w:szCs w:val="32"/>
          <w:highlight w:val="none"/>
        </w:rPr>
        <w:t>2</w:t>
      </w:r>
      <w:r>
        <w:rPr>
          <w:rFonts w:hint="default" w:ascii="Times New Roman" w:hAnsi="Times New Roman" w:eastAsia="方正仿宋_GBK" w:cs="Times New Roman"/>
          <w:b/>
          <w:spacing w:val="-6"/>
          <w:sz w:val="32"/>
          <w:szCs w:val="32"/>
          <w:highlight w:val="none"/>
          <w:lang w:val="en-US" w:eastAsia="zh-CN"/>
        </w:rPr>
        <w:t>.</w:t>
      </w:r>
      <w:r>
        <w:rPr>
          <w:rFonts w:hint="default" w:ascii="Times New Roman" w:hAnsi="Times New Roman" w:eastAsia="方正仿宋_GBK" w:cs="Times New Roman"/>
          <w:b/>
          <w:spacing w:val="-6"/>
          <w:sz w:val="32"/>
          <w:szCs w:val="32"/>
          <w:highlight w:val="none"/>
          <w:lang w:eastAsia="zh-CN"/>
        </w:rPr>
        <w:t>2025年一般公共预算</w:t>
      </w:r>
      <w:r>
        <w:rPr>
          <w:rFonts w:hint="default" w:ascii="Times New Roman" w:hAnsi="Times New Roman" w:eastAsia="方正仿宋_GBK" w:cs="Times New Roman"/>
          <w:b/>
          <w:spacing w:val="-6"/>
          <w:sz w:val="32"/>
          <w:szCs w:val="32"/>
          <w:highlight w:val="none"/>
        </w:rPr>
        <w:t>支出安排为</w:t>
      </w:r>
      <w:r>
        <w:rPr>
          <w:rFonts w:hint="default" w:ascii="Times New Roman" w:hAnsi="Times New Roman" w:eastAsia="方正仿宋_GBK" w:cs="Times New Roman"/>
          <w:b/>
          <w:bCs/>
          <w:sz w:val="32"/>
          <w:szCs w:val="32"/>
          <w:highlight w:val="none"/>
          <w:lang w:val="en-US" w:eastAsia="zh-CN"/>
        </w:rPr>
        <w:t>307573</w:t>
      </w:r>
      <w:r>
        <w:rPr>
          <w:rFonts w:hint="default" w:ascii="Times New Roman" w:hAnsi="Times New Roman" w:eastAsia="方正仿宋_GBK" w:cs="Times New Roman"/>
          <w:b/>
          <w:spacing w:val="-6"/>
          <w:sz w:val="32"/>
          <w:szCs w:val="32"/>
          <w:highlight w:val="none"/>
        </w:rPr>
        <w:t>万元，具体情况为：</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（1）个人刚性支出</w:t>
      </w:r>
      <w:r>
        <w:rPr>
          <w:rFonts w:hint="default" w:ascii="Times New Roman" w:hAnsi="Times New Roman" w:eastAsia="方正仿宋_GBK" w:cs="Times New Roman"/>
          <w:sz w:val="32"/>
          <w:szCs w:val="32"/>
          <w:highlight w:val="none"/>
          <w:lang w:val="en-US" w:eastAsia="zh-CN"/>
        </w:rPr>
        <w:t>157523</w:t>
      </w:r>
      <w:r>
        <w:rPr>
          <w:rFonts w:hint="default" w:ascii="Times New Roman" w:hAnsi="Times New Roman" w:eastAsia="方正仿宋_GBK" w:cs="Times New Roman"/>
          <w:sz w:val="32"/>
          <w:szCs w:val="32"/>
          <w:highlight w:val="none"/>
        </w:rPr>
        <w:t>万元。包含：在职人员工资福利支出和离退休人员对个人家庭补助支出，个人取暖费、公积金、社会保障缴费等；</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（2）机构运转支出</w:t>
      </w:r>
      <w:r>
        <w:rPr>
          <w:rFonts w:hint="default" w:ascii="Times New Roman" w:hAnsi="Times New Roman" w:eastAsia="方正仿宋_GBK" w:cs="Times New Roman"/>
          <w:sz w:val="32"/>
          <w:szCs w:val="32"/>
          <w:highlight w:val="none"/>
          <w:lang w:val="en-US" w:eastAsia="zh-CN"/>
        </w:rPr>
        <w:t>2164</w:t>
      </w:r>
      <w:r>
        <w:rPr>
          <w:rFonts w:hint="default" w:ascii="Times New Roman" w:hAnsi="Times New Roman" w:eastAsia="方正仿宋_GBK" w:cs="Times New Roman"/>
          <w:sz w:val="32"/>
          <w:szCs w:val="32"/>
          <w:highlight w:val="none"/>
        </w:rPr>
        <w:t>万元，包含办公经费、交通费、公用取暖费等维持机构正常运转的必要支出；</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（3）提前预告知专项支出101280万元。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（4）</w:t>
      </w:r>
      <w:r>
        <w:rPr>
          <w:rFonts w:hint="default" w:ascii="Times New Roman" w:hAnsi="Times New Roman" w:eastAsia="方正仿宋_GBK" w:cs="Times New Roman"/>
          <w:sz w:val="32"/>
          <w:szCs w:val="32"/>
          <w:highlight w:val="none"/>
        </w:rPr>
        <w:t>上解支出57</w:t>
      </w:r>
      <w:r>
        <w:rPr>
          <w:rFonts w:hint="default" w:ascii="Times New Roman" w:hAnsi="Times New Roman" w:eastAsia="方正仿宋_GBK" w:cs="Times New Roman"/>
          <w:sz w:val="32"/>
          <w:szCs w:val="32"/>
          <w:highlight w:val="none"/>
          <w:lang w:val="en-US" w:eastAsia="zh-CN"/>
        </w:rPr>
        <w:t>9</w:t>
      </w:r>
      <w:r>
        <w:rPr>
          <w:rFonts w:hint="default" w:ascii="Times New Roman" w:hAnsi="Times New Roman" w:eastAsia="方正仿宋_GBK" w:cs="Times New Roman"/>
          <w:sz w:val="32"/>
          <w:szCs w:val="32"/>
          <w:highlight w:val="none"/>
        </w:rPr>
        <w:t>万元</w:t>
      </w:r>
      <w:r>
        <w:rPr>
          <w:rFonts w:hint="default" w:ascii="Times New Roman" w:hAnsi="Times New Roman" w:eastAsia="方正仿宋_GBK" w:cs="Times New Roman"/>
          <w:sz w:val="32"/>
          <w:szCs w:val="32"/>
          <w:highlight w:val="none"/>
          <w:lang w:eastAsia="zh-CN"/>
        </w:rPr>
        <w:t>（上解交通专项</w:t>
      </w:r>
      <w:r>
        <w:rPr>
          <w:rFonts w:hint="default" w:ascii="Times New Roman" w:hAnsi="Times New Roman" w:eastAsia="方正仿宋_GBK" w:cs="Times New Roman"/>
          <w:sz w:val="32"/>
          <w:szCs w:val="32"/>
          <w:highlight w:val="none"/>
          <w:lang w:val="en-US" w:eastAsia="zh-CN"/>
        </w:rPr>
        <w:t>577万元、上解重大传染病防控经费2万元</w:t>
      </w:r>
      <w:r>
        <w:rPr>
          <w:rFonts w:hint="default" w:ascii="Times New Roman" w:hAnsi="Times New Roman" w:eastAsia="方正仿宋_GBK" w:cs="Times New Roman"/>
          <w:sz w:val="32"/>
          <w:szCs w:val="32"/>
          <w:highlight w:val="none"/>
          <w:lang w:eastAsia="zh-CN"/>
        </w:rPr>
        <w:t>）；</w:t>
      </w:r>
    </w:p>
    <w:p>
      <w:pPr>
        <w:keepNext w:val="0"/>
        <w:keepLines w:val="0"/>
        <w:pageBreakBefore w:val="0"/>
        <w:widowControl w:val="0"/>
        <w:shd w:val="solid" w:color="FFFFFF" w:fill="auto"/>
        <w:kinsoku/>
        <w:wordWrap/>
        <w:overflowPunct/>
        <w:topLinePunct w:val="0"/>
        <w:autoSpaceDE/>
        <w:autoSpaceDN w:val="0"/>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（5）一般债券还本支出255万元、一般债券付息支出2551万元、债券发行费支出10万元；（按照自治区财政厅相关文件要求，必须纳入公共预算安排）。</w:t>
      </w:r>
    </w:p>
    <w:p>
      <w:pPr>
        <w:keepNext w:val="0"/>
        <w:keepLines w:val="0"/>
        <w:pageBreakBefore w:val="0"/>
        <w:widowControl w:val="0"/>
        <w:shd w:val="solid" w:color="FFFFFF" w:fill="auto"/>
        <w:kinsoku/>
        <w:wordWrap/>
        <w:overflowPunct/>
        <w:topLinePunct w:val="0"/>
        <w:autoSpaceDE/>
        <w:autoSpaceDN w:val="0"/>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（6）预备费3200万元；</w:t>
      </w:r>
    </w:p>
    <w:p>
      <w:pPr>
        <w:keepNext w:val="0"/>
        <w:keepLines w:val="0"/>
        <w:pageBreakBefore w:val="0"/>
        <w:widowControl w:val="0"/>
        <w:shd w:val="solid" w:color="FFFFFF" w:fill="auto"/>
        <w:kinsoku/>
        <w:wordWrap/>
        <w:overflowPunct/>
        <w:topLinePunct w:val="0"/>
        <w:autoSpaceDE/>
        <w:autoSpaceDN w:val="0"/>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（7）项目支出10466万元；</w:t>
      </w:r>
    </w:p>
    <w:p>
      <w:pPr>
        <w:keepNext w:val="0"/>
        <w:keepLines w:val="0"/>
        <w:pageBreakBefore w:val="0"/>
        <w:widowControl w:val="0"/>
        <w:shd w:val="solid" w:color="FFFFFF" w:fill="auto"/>
        <w:kinsoku/>
        <w:wordWrap/>
        <w:overflowPunct/>
        <w:topLinePunct w:val="0"/>
        <w:autoSpaceDE/>
        <w:autoSpaceDN w:val="0"/>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（8）日协还款36万元；</w:t>
      </w:r>
    </w:p>
    <w:p>
      <w:pPr>
        <w:keepNext w:val="0"/>
        <w:keepLines w:val="0"/>
        <w:pageBreakBefore w:val="0"/>
        <w:widowControl w:val="0"/>
        <w:shd w:val="solid" w:color="FFFFFF" w:fill="auto"/>
        <w:kinsoku/>
        <w:wordWrap/>
        <w:overflowPunct/>
        <w:topLinePunct w:val="0"/>
        <w:autoSpaceDE/>
        <w:autoSpaceDN w:val="0"/>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9）预留指标17148万元，其中：调整工资财力预留800万元、年度考核奖增资预留1348万元、人员类项目预留（含年中职级晋升，人员调入，丧葬抚恤、职业年金）5000万元、项目支出预留（含各乡镇公用经费追加，县级项目安排）10000万元；</w:t>
      </w:r>
    </w:p>
    <w:p>
      <w:pPr>
        <w:keepNext w:val="0"/>
        <w:keepLines w:val="0"/>
        <w:pageBreakBefore w:val="0"/>
        <w:widowControl w:val="0"/>
        <w:shd w:val="solid" w:color="FFFFFF" w:fill="auto"/>
        <w:kinsoku/>
        <w:wordWrap/>
        <w:overflowPunct/>
        <w:topLinePunct w:val="0"/>
        <w:autoSpaceDE/>
        <w:autoSpaceDN w:val="0"/>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（10）专项结转支出12361万元；</w:t>
      </w:r>
    </w:p>
    <w:p>
      <w:pPr>
        <w:keepNext w:val="0"/>
        <w:keepLines w:val="0"/>
        <w:pageBreakBefore w:val="0"/>
        <w:widowControl w:val="0"/>
        <w:shd w:val="solid" w:color="FFFFFF" w:fill="auto"/>
        <w:kinsoku/>
        <w:wordWrap/>
        <w:overflowPunct/>
        <w:topLinePunct w:val="0"/>
        <w:autoSpaceDE/>
        <w:autoSpaceDN w:val="0"/>
        <w:bidi w:val="0"/>
        <w:spacing w:line="620" w:lineRule="exact"/>
        <w:ind w:firstLine="643" w:firstLineChars="200"/>
        <w:textAlignment w:val="auto"/>
        <w:rPr>
          <w:rFonts w:hint="default" w:ascii="Times New Roman" w:hAnsi="Times New Roman" w:eastAsia="方正仿宋_GBK" w:cs="Times New Roman"/>
          <w:b/>
          <w:bCs/>
          <w:sz w:val="32"/>
          <w:szCs w:val="32"/>
          <w:highlight w:val="none"/>
        </w:rPr>
      </w:pPr>
      <w:r>
        <w:rPr>
          <w:rFonts w:hint="default" w:ascii="Times New Roman" w:hAnsi="Times New Roman" w:eastAsia="方正仿宋_GBK" w:cs="Times New Roman"/>
          <w:b/>
          <w:bCs/>
          <w:sz w:val="32"/>
          <w:szCs w:val="32"/>
          <w:highlight w:val="none"/>
        </w:rPr>
        <w:t>3</w:t>
      </w:r>
      <w:r>
        <w:rPr>
          <w:rFonts w:hint="default" w:ascii="Times New Roman" w:hAnsi="Times New Roman" w:eastAsia="方正仿宋_GBK" w:cs="Times New Roman"/>
          <w:b/>
          <w:bCs/>
          <w:sz w:val="32"/>
          <w:szCs w:val="32"/>
          <w:highlight w:val="none"/>
          <w:lang w:val="en-US" w:eastAsia="zh-CN"/>
        </w:rPr>
        <w:t>.</w:t>
      </w:r>
      <w:r>
        <w:rPr>
          <w:rFonts w:hint="default" w:ascii="Times New Roman" w:hAnsi="Times New Roman" w:eastAsia="方正仿宋_GBK" w:cs="Times New Roman"/>
          <w:b/>
          <w:bCs/>
          <w:sz w:val="32"/>
          <w:szCs w:val="32"/>
          <w:highlight w:val="none"/>
        </w:rPr>
        <w:t>收支平衡情况：</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按照收支平衡原则，一般公共预算财力</w:t>
      </w:r>
      <w:r>
        <w:rPr>
          <w:rFonts w:hint="default" w:ascii="Times New Roman" w:hAnsi="Times New Roman" w:eastAsia="方正仿宋_GBK" w:cs="Times New Roman"/>
          <w:sz w:val="32"/>
          <w:szCs w:val="32"/>
          <w:highlight w:val="none"/>
          <w:lang w:val="en-US" w:eastAsia="zh-CN"/>
        </w:rPr>
        <w:t>307573</w:t>
      </w:r>
      <w:r>
        <w:rPr>
          <w:rFonts w:hint="default" w:ascii="Times New Roman" w:hAnsi="Times New Roman" w:eastAsia="方正仿宋_GBK" w:cs="Times New Roman"/>
          <w:sz w:val="32"/>
          <w:szCs w:val="32"/>
          <w:highlight w:val="none"/>
        </w:rPr>
        <w:t>万元；用于人员支出15</w:t>
      </w:r>
      <w:r>
        <w:rPr>
          <w:rFonts w:hint="default" w:ascii="Times New Roman" w:hAnsi="Times New Roman" w:eastAsia="方正仿宋_GBK" w:cs="Times New Roman"/>
          <w:sz w:val="32"/>
          <w:szCs w:val="32"/>
          <w:highlight w:val="none"/>
          <w:lang w:val="en-US" w:eastAsia="zh-CN"/>
        </w:rPr>
        <w:t>7523</w:t>
      </w:r>
      <w:r>
        <w:rPr>
          <w:rFonts w:hint="default" w:ascii="Times New Roman" w:hAnsi="Times New Roman" w:eastAsia="方正仿宋_GBK" w:cs="Times New Roman"/>
          <w:sz w:val="32"/>
          <w:szCs w:val="32"/>
          <w:highlight w:val="none"/>
        </w:rPr>
        <w:t>万元，公用支出2164万元后，预告知专项支出</w:t>
      </w:r>
      <w:r>
        <w:rPr>
          <w:rFonts w:hint="default" w:ascii="Times New Roman" w:hAnsi="Times New Roman" w:eastAsia="方正仿宋_GBK" w:cs="Times New Roman"/>
          <w:sz w:val="32"/>
          <w:szCs w:val="32"/>
          <w:highlight w:val="none"/>
          <w:lang w:val="en-US" w:eastAsia="zh-CN"/>
        </w:rPr>
        <w:t>101280</w:t>
      </w:r>
      <w:r>
        <w:rPr>
          <w:rFonts w:hint="default" w:ascii="Times New Roman" w:hAnsi="Times New Roman" w:eastAsia="方正仿宋_GBK" w:cs="Times New Roman"/>
          <w:sz w:val="32"/>
          <w:szCs w:val="32"/>
          <w:highlight w:val="none"/>
        </w:rPr>
        <w:t>万元，上解支出579万元，一般债券还本付息及发行费2816万元，预备费3</w:t>
      </w:r>
      <w:r>
        <w:rPr>
          <w:rFonts w:hint="default" w:ascii="Times New Roman" w:hAnsi="Times New Roman" w:eastAsia="方正仿宋_GBK" w:cs="Times New Roman"/>
          <w:sz w:val="32"/>
          <w:szCs w:val="32"/>
          <w:highlight w:val="none"/>
          <w:lang w:val="en-US" w:eastAsia="zh-CN"/>
        </w:rPr>
        <w:t>200</w:t>
      </w:r>
      <w:r>
        <w:rPr>
          <w:rFonts w:hint="default" w:ascii="Times New Roman" w:hAnsi="Times New Roman" w:eastAsia="方正仿宋_GBK" w:cs="Times New Roman"/>
          <w:sz w:val="32"/>
          <w:szCs w:val="32"/>
          <w:highlight w:val="none"/>
        </w:rPr>
        <w:t>万元，项目支出104</w:t>
      </w:r>
      <w:r>
        <w:rPr>
          <w:rFonts w:hint="default" w:ascii="Times New Roman" w:hAnsi="Times New Roman" w:eastAsia="方正仿宋_GBK" w:cs="Times New Roman"/>
          <w:sz w:val="32"/>
          <w:szCs w:val="32"/>
          <w:highlight w:val="none"/>
          <w:lang w:val="en-US" w:eastAsia="zh-CN"/>
        </w:rPr>
        <w:t>66</w:t>
      </w:r>
      <w:r>
        <w:rPr>
          <w:rFonts w:hint="default" w:ascii="Times New Roman" w:hAnsi="Times New Roman" w:eastAsia="方正仿宋_GBK" w:cs="Times New Roman"/>
          <w:sz w:val="32"/>
          <w:szCs w:val="32"/>
          <w:highlight w:val="none"/>
        </w:rPr>
        <w:t>万元，日协还款3</w:t>
      </w:r>
      <w:r>
        <w:rPr>
          <w:rFonts w:hint="default" w:ascii="Times New Roman" w:hAnsi="Times New Roman" w:eastAsia="方正仿宋_GBK" w:cs="Times New Roman"/>
          <w:sz w:val="32"/>
          <w:szCs w:val="32"/>
          <w:highlight w:val="none"/>
          <w:lang w:val="en-US" w:eastAsia="zh-CN"/>
        </w:rPr>
        <w:t>6</w:t>
      </w:r>
      <w:r>
        <w:rPr>
          <w:rFonts w:hint="default" w:ascii="Times New Roman" w:hAnsi="Times New Roman" w:eastAsia="方正仿宋_GBK" w:cs="Times New Roman"/>
          <w:sz w:val="32"/>
          <w:szCs w:val="32"/>
          <w:highlight w:val="none"/>
        </w:rPr>
        <w:t>万元，预留指标</w:t>
      </w:r>
      <w:r>
        <w:rPr>
          <w:rFonts w:hint="default" w:ascii="Times New Roman" w:hAnsi="Times New Roman" w:eastAsia="方正仿宋_GBK" w:cs="Times New Roman"/>
          <w:sz w:val="32"/>
          <w:szCs w:val="32"/>
          <w:highlight w:val="none"/>
          <w:lang w:val="en-US" w:eastAsia="zh-CN"/>
        </w:rPr>
        <w:t>17148</w:t>
      </w:r>
      <w:r>
        <w:rPr>
          <w:rFonts w:hint="default" w:ascii="Times New Roman" w:hAnsi="Times New Roman" w:eastAsia="方正仿宋_GBK" w:cs="Times New Roman"/>
          <w:sz w:val="32"/>
          <w:szCs w:val="32"/>
          <w:highlight w:val="none"/>
        </w:rPr>
        <w:t>万元，专项结转支出</w:t>
      </w:r>
      <w:r>
        <w:rPr>
          <w:rFonts w:hint="default" w:ascii="Times New Roman" w:hAnsi="Times New Roman" w:eastAsia="方正仿宋_GBK" w:cs="Times New Roman"/>
          <w:sz w:val="32"/>
          <w:szCs w:val="32"/>
          <w:highlight w:val="none"/>
          <w:lang w:val="en-US" w:eastAsia="zh-CN"/>
        </w:rPr>
        <w:t>12373</w:t>
      </w:r>
      <w:r>
        <w:rPr>
          <w:rFonts w:hint="default" w:ascii="Times New Roman" w:hAnsi="Times New Roman" w:eastAsia="方正仿宋_GBK" w:cs="Times New Roman"/>
          <w:sz w:val="32"/>
          <w:szCs w:val="32"/>
          <w:highlight w:val="none"/>
        </w:rPr>
        <w:t>万元，收支差额0万元，收支平衡。</w:t>
      </w:r>
    </w:p>
    <w:p>
      <w:pPr>
        <w:keepNext w:val="0"/>
        <w:keepLines w:val="0"/>
        <w:pageBreakBefore w:val="0"/>
        <w:widowControl w:val="0"/>
        <w:kinsoku/>
        <w:wordWrap/>
        <w:overflowPunct/>
        <w:topLinePunct w:val="0"/>
        <w:autoSpaceDE/>
        <w:bidi w:val="0"/>
        <w:spacing w:line="620" w:lineRule="exact"/>
        <w:ind w:firstLine="616" w:firstLineChars="200"/>
        <w:textAlignment w:val="auto"/>
        <w:rPr>
          <w:rFonts w:hint="default" w:ascii="Times New Roman" w:hAnsi="Times New Roman" w:eastAsia="方正仿宋_GBK" w:cs="Times New Roman"/>
          <w:b/>
          <w:spacing w:val="-6"/>
          <w:sz w:val="32"/>
          <w:szCs w:val="32"/>
          <w:highlight w:val="none"/>
          <w:lang w:val="en-US" w:eastAsia="zh-CN"/>
        </w:rPr>
      </w:pPr>
      <w:r>
        <w:rPr>
          <w:rFonts w:hint="default" w:ascii="Times New Roman" w:hAnsi="Times New Roman" w:eastAsia="方正楷体_GBK" w:cs="Times New Roman"/>
          <w:b/>
          <w:bCs w:val="0"/>
          <w:spacing w:val="-6"/>
          <w:sz w:val="32"/>
          <w:szCs w:val="32"/>
          <w:highlight w:val="none"/>
          <w:lang w:eastAsia="zh-CN"/>
        </w:rPr>
        <w:t>（二）</w:t>
      </w:r>
      <w:r>
        <w:rPr>
          <w:rFonts w:hint="default" w:ascii="Times New Roman" w:hAnsi="Times New Roman" w:eastAsia="方正楷体_GBK" w:cs="Times New Roman"/>
          <w:b/>
          <w:bCs w:val="0"/>
          <w:spacing w:val="-6"/>
          <w:sz w:val="32"/>
          <w:szCs w:val="32"/>
          <w:highlight w:val="none"/>
          <w:lang w:val="en-US" w:eastAsia="zh-CN"/>
        </w:rPr>
        <w:t>“三保”预算情况</w:t>
      </w:r>
    </w:p>
    <w:p>
      <w:pPr>
        <w:keepNext w:val="0"/>
        <w:keepLines w:val="0"/>
        <w:pageBreakBefore w:val="0"/>
        <w:widowControl w:val="0"/>
        <w:kinsoku/>
        <w:wordWrap/>
        <w:overflowPunct/>
        <w:topLinePunct w:val="0"/>
        <w:autoSpaceDE/>
        <w:autoSpaceDN/>
        <w:bidi w:val="0"/>
        <w:adjustRightInd w:val="0"/>
        <w:snapToGrid w:val="0"/>
        <w:spacing w:beforeAutospacing="0" w:afterAutospacing="0" w:line="600" w:lineRule="exact"/>
        <w:ind w:firstLine="640" w:firstLineChars="200"/>
        <w:jc w:val="both"/>
        <w:textAlignment w:val="auto"/>
        <w:rPr>
          <w:rFonts w:hint="default" w:ascii="Times New Roman" w:hAnsi="Times New Roman" w:eastAsia="方正仿宋_GBK" w:cs="Times New Roman"/>
          <w:b/>
          <w:bCs w:val="0"/>
          <w:color w:val="auto"/>
          <w:sz w:val="30"/>
          <w:szCs w:val="30"/>
          <w:highlight w:val="none"/>
          <w:lang w:val="en-US" w:eastAsia="zh-CN"/>
        </w:rPr>
      </w:pPr>
      <w:bookmarkStart w:id="1" w:name="OLE_LINK2"/>
      <w:r>
        <w:rPr>
          <w:rFonts w:hint="default" w:ascii="Times New Roman" w:hAnsi="Times New Roman" w:eastAsia="方正仿宋简体" w:cs="Times New Roman"/>
          <w:b w:val="0"/>
          <w:bCs w:val="0"/>
          <w:color w:val="auto"/>
          <w:sz w:val="32"/>
          <w:szCs w:val="32"/>
          <w:highlight w:val="none"/>
          <w:lang w:eastAsia="zh-CN"/>
        </w:rPr>
        <w:t>可用于“三保”财力3</w:t>
      </w:r>
      <w:r>
        <w:rPr>
          <w:rFonts w:hint="default" w:ascii="Times New Roman" w:hAnsi="Times New Roman" w:eastAsia="方正仿宋简体" w:cs="Times New Roman"/>
          <w:b w:val="0"/>
          <w:bCs w:val="0"/>
          <w:color w:val="auto"/>
          <w:sz w:val="32"/>
          <w:szCs w:val="32"/>
          <w:highlight w:val="none"/>
          <w:lang w:val="en-US" w:eastAsia="zh-CN"/>
        </w:rPr>
        <w:t>06994</w:t>
      </w:r>
      <w:r>
        <w:rPr>
          <w:rFonts w:hint="default" w:ascii="Times New Roman" w:hAnsi="Times New Roman" w:eastAsia="方正仿宋简体" w:cs="Times New Roman"/>
          <w:b w:val="0"/>
          <w:bCs w:val="0"/>
          <w:color w:val="auto"/>
          <w:sz w:val="32"/>
          <w:szCs w:val="32"/>
          <w:highlight w:val="none"/>
          <w:lang w:eastAsia="zh-CN"/>
        </w:rPr>
        <w:t>万元，其中：202</w:t>
      </w:r>
      <w:r>
        <w:rPr>
          <w:rFonts w:hint="default" w:ascii="Times New Roman" w:hAnsi="Times New Roman" w:eastAsia="方正仿宋简体" w:cs="Times New Roman"/>
          <w:b w:val="0"/>
          <w:bCs w:val="0"/>
          <w:color w:val="auto"/>
          <w:sz w:val="32"/>
          <w:szCs w:val="32"/>
          <w:highlight w:val="none"/>
          <w:lang w:val="en-US" w:eastAsia="zh-CN"/>
        </w:rPr>
        <w:t>5</w:t>
      </w:r>
      <w:r>
        <w:rPr>
          <w:rFonts w:hint="default" w:ascii="Times New Roman" w:hAnsi="Times New Roman" w:eastAsia="方正仿宋简体" w:cs="Times New Roman"/>
          <w:b w:val="0"/>
          <w:bCs w:val="0"/>
          <w:color w:val="auto"/>
          <w:sz w:val="32"/>
          <w:szCs w:val="32"/>
          <w:highlight w:val="none"/>
          <w:lang w:eastAsia="zh-CN"/>
        </w:rPr>
        <w:t>年预算收入</w:t>
      </w:r>
      <w:r>
        <w:rPr>
          <w:rFonts w:hint="default" w:ascii="Times New Roman" w:hAnsi="Times New Roman" w:eastAsia="方正仿宋简体" w:cs="Times New Roman"/>
          <w:b w:val="0"/>
          <w:bCs w:val="0"/>
          <w:color w:val="auto"/>
          <w:sz w:val="32"/>
          <w:szCs w:val="32"/>
          <w:highlight w:val="none"/>
          <w:lang w:val="en-US" w:eastAsia="zh-CN"/>
        </w:rPr>
        <w:t>28060</w:t>
      </w:r>
      <w:r>
        <w:rPr>
          <w:rFonts w:hint="default" w:ascii="Times New Roman" w:hAnsi="Times New Roman" w:eastAsia="方正仿宋简体" w:cs="Times New Roman"/>
          <w:b w:val="0"/>
          <w:bCs w:val="0"/>
          <w:color w:val="auto"/>
          <w:sz w:val="32"/>
          <w:szCs w:val="32"/>
          <w:highlight w:val="none"/>
          <w:lang w:eastAsia="zh-CN"/>
        </w:rPr>
        <w:t>万元+上级补助收入</w:t>
      </w:r>
      <w:r>
        <w:rPr>
          <w:rFonts w:hint="default" w:ascii="Times New Roman" w:hAnsi="Times New Roman" w:eastAsia="方正仿宋简体" w:cs="Times New Roman"/>
          <w:b w:val="0"/>
          <w:bCs w:val="0"/>
          <w:color w:val="auto"/>
          <w:sz w:val="32"/>
          <w:szCs w:val="32"/>
          <w:highlight w:val="none"/>
          <w:lang w:val="en-US" w:eastAsia="zh-CN"/>
        </w:rPr>
        <w:t>228249</w:t>
      </w:r>
      <w:r>
        <w:rPr>
          <w:rFonts w:hint="default" w:ascii="Times New Roman" w:hAnsi="Times New Roman" w:eastAsia="方正仿宋简体" w:cs="Times New Roman"/>
          <w:b w:val="0"/>
          <w:bCs w:val="0"/>
          <w:color w:val="auto"/>
          <w:sz w:val="32"/>
          <w:szCs w:val="32"/>
          <w:highlight w:val="none"/>
          <w:lang w:eastAsia="zh-CN"/>
        </w:rPr>
        <w:t>万元+基金收入及国有资本经营预算收入调入公共财政</w:t>
      </w:r>
      <w:r>
        <w:rPr>
          <w:rFonts w:hint="default" w:ascii="Times New Roman" w:hAnsi="Times New Roman" w:eastAsia="方正仿宋简体" w:cs="Times New Roman"/>
          <w:b w:val="0"/>
          <w:bCs w:val="0"/>
          <w:color w:val="auto"/>
          <w:sz w:val="32"/>
          <w:szCs w:val="32"/>
          <w:highlight w:val="none"/>
          <w:lang w:val="en-US" w:eastAsia="zh-CN"/>
        </w:rPr>
        <w:t>38753</w:t>
      </w:r>
      <w:r>
        <w:rPr>
          <w:rFonts w:hint="default" w:ascii="Times New Roman" w:hAnsi="Times New Roman" w:eastAsia="方正仿宋简体" w:cs="Times New Roman"/>
          <w:b w:val="0"/>
          <w:bCs w:val="0"/>
          <w:color w:val="auto"/>
          <w:sz w:val="32"/>
          <w:szCs w:val="32"/>
          <w:highlight w:val="none"/>
          <w:lang w:eastAsia="zh-CN"/>
        </w:rPr>
        <w:t>万元+上年结余</w:t>
      </w:r>
      <w:r>
        <w:rPr>
          <w:rFonts w:hint="default" w:ascii="Times New Roman" w:hAnsi="Times New Roman" w:eastAsia="方正仿宋简体" w:cs="Times New Roman"/>
          <w:b w:val="0"/>
          <w:bCs w:val="0"/>
          <w:color w:val="auto"/>
          <w:sz w:val="32"/>
          <w:szCs w:val="32"/>
          <w:highlight w:val="none"/>
          <w:lang w:val="en-US" w:eastAsia="zh-CN"/>
        </w:rPr>
        <w:t>12361</w:t>
      </w:r>
      <w:r>
        <w:rPr>
          <w:rFonts w:hint="default" w:ascii="Times New Roman" w:hAnsi="Times New Roman" w:eastAsia="方正仿宋简体" w:cs="Times New Roman"/>
          <w:b w:val="0"/>
          <w:bCs w:val="0"/>
          <w:color w:val="auto"/>
          <w:sz w:val="32"/>
          <w:szCs w:val="32"/>
          <w:highlight w:val="none"/>
          <w:lang w:eastAsia="zh-CN"/>
        </w:rPr>
        <w:t>万元+动用预算稳定调节基金</w:t>
      </w:r>
      <w:r>
        <w:rPr>
          <w:rFonts w:hint="default" w:ascii="Times New Roman" w:hAnsi="Times New Roman" w:eastAsia="方正仿宋简体" w:cs="Times New Roman"/>
          <w:b w:val="0"/>
          <w:bCs w:val="0"/>
          <w:color w:val="auto"/>
          <w:sz w:val="32"/>
          <w:szCs w:val="32"/>
          <w:highlight w:val="none"/>
          <w:lang w:val="en-US" w:eastAsia="zh-CN"/>
        </w:rPr>
        <w:t>150</w:t>
      </w:r>
      <w:r>
        <w:rPr>
          <w:rFonts w:hint="default" w:ascii="Times New Roman" w:hAnsi="Times New Roman" w:eastAsia="方正仿宋简体" w:cs="Times New Roman"/>
          <w:b w:val="0"/>
          <w:bCs w:val="0"/>
          <w:color w:val="auto"/>
          <w:sz w:val="32"/>
          <w:szCs w:val="32"/>
          <w:highlight w:val="none"/>
          <w:lang w:eastAsia="zh-CN"/>
        </w:rPr>
        <w:t>万元-上解支出579万元。</w:t>
      </w:r>
    </w:p>
    <w:p>
      <w:pPr>
        <w:keepNext w:val="0"/>
        <w:keepLines w:val="0"/>
        <w:pageBreakBefore w:val="0"/>
        <w:widowControl w:val="0"/>
        <w:kinsoku/>
        <w:wordWrap/>
        <w:overflowPunct/>
        <w:topLinePunct w:val="0"/>
        <w:autoSpaceDE/>
        <w:autoSpaceDN/>
        <w:bidi w:val="0"/>
        <w:adjustRightInd w:val="0"/>
        <w:snapToGrid w:val="0"/>
        <w:spacing w:beforeAutospacing="0" w:afterAutospacing="0" w:line="620" w:lineRule="exact"/>
        <w:ind w:firstLine="602" w:firstLineChars="200"/>
        <w:jc w:val="both"/>
        <w:textAlignment w:val="auto"/>
        <w:rPr>
          <w:rFonts w:hint="default" w:ascii="Times New Roman" w:hAnsi="Times New Roman" w:eastAsia="方正仿宋_GBK" w:cs="Times New Roman"/>
          <w:b/>
          <w:bCs w:val="0"/>
          <w:color w:val="auto"/>
          <w:sz w:val="30"/>
          <w:szCs w:val="30"/>
          <w:highlight w:val="none"/>
          <w:lang w:val="en-US" w:eastAsia="zh-CN"/>
        </w:rPr>
      </w:pPr>
      <w:r>
        <w:rPr>
          <w:rFonts w:hint="default" w:ascii="Times New Roman" w:hAnsi="Times New Roman" w:eastAsia="方正仿宋_GBK" w:cs="Times New Roman"/>
          <w:b/>
          <w:bCs w:val="0"/>
          <w:color w:val="auto"/>
          <w:sz w:val="30"/>
          <w:szCs w:val="30"/>
          <w:highlight w:val="none"/>
          <w:lang w:val="en-US" w:eastAsia="zh-CN"/>
        </w:rPr>
        <w:t>“三保”预算支出</w:t>
      </w:r>
      <w:r>
        <w:rPr>
          <w:rFonts w:hint="eastAsia" w:eastAsia="方正仿宋_GBK" w:cs="Times New Roman"/>
          <w:b/>
          <w:bCs w:val="0"/>
          <w:color w:val="auto"/>
          <w:sz w:val="30"/>
          <w:szCs w:val="30"/>
          <w:highlight w:val="none"/>
          <w:lang w:val="en-US" w:eastAsia="zh-CN"/>
        </w:rPr>
        <w:t>192480</w:t>
      </w:r>
      <w:r>
        <w:rPr>
          <w:rFonts w:hint="default" w:ascii="Times New Roman" w:hAnsi="Times New Roman" w:eastAsia="方正仿宋_GBK" w:cs="Times New Roman"/>
          <w:b/>
          <w:bCs w:val="0"/>
          <w:color w:val="auto"/>
          <w:sz w:val="30"/>
          <w:szCs w:val="30"/>
          <w:highlight w:val="none"/>
          <w:lang w:val="en-US" w:eastAsia="zh-CN"/>
        </w:rPr>
        <w:t>万元，其中：</w:t>
      </w:r>
    </w:p>
    <w:p>
      <w:pPr>
        <w:keepNext w:val="0"/>
        <w:keepLines w:val="0"/>
        <w:pageBreakBefore w:val="0"/>
        <w:widowControl w:val="0"/>
        <w:kinsoku/>
        <w:wordWrap/>
        <w:overflowPunct/>
        <w:topLinePunct w:val="0"/>
        <w:autoSpaceDE/>
        <w:bidi w:val="0"/>
        <w:spacing w:line="620" w:lineRule="exact"/>
        <w:ind w:firstLine="643" w:firstLineChars="200"/>
        <w:textAlignment w:val="auto"/>
        <w:rPr>
          <w:rFonts w:hint="default" w:ascii="Times New Roman" w:hAnsi="Times New Roman" w:eastAsia="方正仿宋_GBK" w:cs="Times New Roman"/>
          <w:b/>
          <w:bCs/>
          <w:sz w:val="32"/>
          <w:szCs w:val="32"/>
          <w:highlight w:val="none"/>
          <w:lang w:val="en-US" w:eastAsia="zh-CN"/>
        </w:rPr>
      </w:pPr>
      <w:r>
        <w:rPr>
          <w:rFonts w:hint="default" w:ascii="Times New Roman" w:hAnsi="Times New Roman" w:eastAsia="方正仿宋_GBK" w:cs="Times New Roman"/>
          <w:b/>
          <w:bCs/>
          <w:sz w:val="32"/>
          <w:szCs w:val="32"/>
          <w:highlight w:val="none"/>
          <w:lang w:val="en-US" w:eastAsia="zh-CN"/>
        </w:rPr>
        <w:t>1.保工资支出</w:t>
      </w:r>
      <w:r>
        <w:rPr>
          <w:rFonts w:hint="eastAsia" w:eastAsia="方正仿宋_GBK" w:cs="Times New Roman"/>
          <w:b/>
          <w:bCs/>
          <w:sz w:val="32"/>
          <w:szCs w:val="32"/>
          <w:highlight w:val="none"/>
          <w:lang w:val="en-US" w:eastAsia="zh-CN"/>
        </w:rPr>
        <w:t>130845</w:t>
      </w:r>
      <w:r>
        <w:rPr>
          <w:rFonts w:hint="default" w:ascii="Times New Roman" w:hAnsi="Times New Roman" w:eastAsia="方正仿宋_GBK" w:cs="Times New Roman"/>
          <w:b/>
          <w:bCs/>
          <w:sz w:val="32"/>
          <w:szCs w:val="32"/>
          <w:highlight w:val="none"/>
          <w:lang w:val="en-US" w:eastAsia="zh-CN"/>
        </w:rPr>
        <w:t>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b w:val="0"/>
          <w:bCs/>
          <w:color w:val="auto"/>
          <w:sz w:val="32"/>
          <w:szCs w:val="32"/>
          <w:highlight w:val="none"/>
          <w:lang w:val="en-US" w:eastAsia="zh-CN"/>
        </w:rPr>
      </w:pPr>
      <w:r>
        <w:rPr>
          <w:rFonts w:hint="default" w:ascii="Times New Roman" w:hAnsi="Times New Roman" w:eastAsia="方正仿宋_GBK" w:cs="Times New Roman"/>
          <w:b w:val="0"/>
          <w:bCs/>
          <w:color w:val="auto"/>
          <w:sz w:val="32"/>
          <w:szCs w:val="32"/>
          <w:highlight w:val="none"/>
          <w:lang w:val="en-US" w:eastAsia="zh-CN"/>
        </w:rPr>
        <w:t>（1）在职基本工资77</w:t>
      </w:r>
      <w:r>
        <w:rPr>
          <w:rFonts w:hint="eastAsia" w:eastAsia="方正仿宋_GBK" w:cs="Times New Roman"/>
          <w:b w:val="0"/>
          <w:bCs/>
          <w:color w:val="auto"/>
          <w:sz w:val="32"/>
          <w:szCs w:val="32"/>
          <w:highlight w:val="none"/>
          <w:lang w:val="en-US" w:eastAsia="zh-CN"/>
        </w:rPr>
        <w:t>42</w:t>
      </w:r>
      <w:r>
        <w:rPr>
          <w:rFonts w:hint="default" w:ascii="Times New Roman" w:hAnsi="Times New Roman" w:eastAsia="方正仿宋_GBK" w:cs="Times New Roman"/>
          <w:b w:val="0"/>
          <w:bCs/>
          <w:color w:val="auto"/>
          <w:sz w:val="32"/>
          <w:szCs w:val="32"/>
          <w:highlight w:val="none"/>
          <w:lang w:val="en-US" w:eastAsia="zh-CN"/>
        </w:rPr>
        <w:t>人，年需求数37802万元，预算安排数37802万元；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b w:val="0"/>
          <w:bCs/>
          <w:color w:val="auto"/>
          <w:sz w:val="32"/>
          <w:szCs w:val="32"/>
          <w:highlight w:val="none"/>
          <w:lang w:val="en-US" w:eastAsia="zh-CN"/>
        </w:rPr>
      </w:pPr>
      <w:r>
        <w:rPr>
          <w:rFonts w:hint="default" w:ascii="Times New Roman" w:hAnsi="Times New Roman" w:eastAsia="方正仿宋_GBK" w:cs="Times New Roman"/>
          <w:b w:val="0"/>
          <w:bCs/>
          <w:color w:val="auto"/>
          <w:sz w:val="32"/>
          <w:szCs w:val="32"/>
          <w:highlight w:val="none"/>
          <w:lang w:val="en-US" w:eastAsia="zh-CN"/>
        </w:rPr>
        <w:t>（2）公务员年终一次性奖金19</w:t>
      </w:r>
      <w:r>
        <w:rPr>
          <w:rFonts w:hint="eastAsia" w:eastAsia="方正仿宋_GBK" w:cs="Times New Roman"/>
          <w:b w:val="0"/>
          <w:bCs/>
          <w:color w:val="auto"/>
          <w:sz w:val="32"/>
          <w:szCs w:val="32"/>
          <w:highlight w:val="none"/>
          <w:lang w:val="en-US" w:eastAsia="zh-CN"/>
        </w:rPr>
        <w:t>70</w:t>
      </w:r>
      <w:r>
        <w:rPr>
          <w:rFonts w:hint="default" w:ascii="Times New Roman" w:hAnsi="Times New Roman" w:eastAsia="方正仿宋_GBK" w:cs="Times New Roman"/>
          <w:b w:val="0"/>
          <w:bCs/>
          <w:color w:val="auto"/>
          <w:sz w:val="32"/>
          <w:szCs w:val="32"/>
          <w:highlight w:val="none"/>
          <w:lang w:val="en-US" w:eastAsia="zh-CN"/>
        </w:rPr>
        <w:t>人，年需求数</w:t>
      </w:r>
      <w:r>
        <w:rPr>
          <w:rFonts w:hint="eastAsia" w:ascii="Times New Roman" w:hAnsi="Times New Roman" w:eastAsia="方正仿宋_GBK" w:cs="Times New Roman"/>
          <w:b w:val="0"/>
          <w:bCs/>
          <w:color w:val="auto"/>
          <w:sz w:val="32"/>
          <w:szCs w:val="32"/>
          <w:highlight w:val="none"/>
          <w:lang w:val="en-US" w:eastAsia="zh-CN"/>
        </w:rPr>
        <w:t>1098</w:t>
      </w:r>
      <w:r>
        <w:rPr>
          <w:rFonts w:hint="default" w:ascii="Times New Roman" w:hAnsi="Times New Roman" w:eastAsia="方正仿宋_GBK" w:cs="Times New Roman"/>
          <w:b w:val="0"/>
          <w:bCs/>
          <w:color w:val="auto"/>
          <w:sz w:val="32"/>
          <w:szCs w:val="32"/>
          <w:highlight w:val="none"/>
          <w:lang w:val="en-US" w:eastAsia="zh-CN"/>
        </w:rPr>
        <w:t>万元，预算安排数</w:t>
      </w:r>
      <w:r>
        <w:rPr>
          <w:rFonts w:hint="eastAsia" w:ascii="Times New Roman" w:hAnsi="Times New Roman" w:eastAsia="方正仿宋_GBK" w:cs="Times New Roman"/>
          <w:b w:val="0"/>
          <w:bCs/>
          <w:color w:val="auto"/>
          <w:sz w:val="32"/>
          <w:szCs w:val="32"/>
          <w:highlight w:val="none"/>
          <w:lang w:val="en-US" w:eastAsia="zh-CN"/>
        </w:rPr>
        <w:t>1098</w:t>
      </w:r>
      <w:r>
        <w:rPr>
          <w:rFonts w:hint="default" w:ascii="Times New Roman" w:hAnsi="Times New Roman" w:eastAsia="方正仿宋_GBK" w:cs="Times New Roman"/>
          <w:b w:val="0"/>
          <w:bCs/>
          <w:color w:val="auto"/>
          <w:sz w:val="32"/>
          <w:szCs w:val="32"/>
          <w:highlight w:val="none"/>
          <w:lang w:val="en-US" w:eastAsia="zh-CN"/>
        </w:rPr>
        <w:t>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b w:val="0"/>
          <w:bCs/>
          <w:color w:val="auto"/>
          <w:sz w:val="32"/>
          <w:szCs w:val="32"/>
          <w:highlight w:val="none"/>
          <w:lang w:val="en-US" w:eastAsia="zh-CN"/>
        </w:rPr>
      </w:pPr>
      <w:r>
        <w:rPr>
          <w:rFonts w:hint="default" w:ascii="Times New Roman" w:hAnsi="Times New Roman" w:eastAsia="方正仿宋_GBK" w:cs="Times New Roman"/>
          <w:b w:val="0"/>
          <w:bCs/>
          <w:color w:val="auto"/>
          <w:sz w:val="32"/>
          <w:szCs w:val="32"/>
          <w:highlight w:val="none"/>
          <w:lang w:val="en-US" w:eastAsia="zh-CN"/>
        </w:rPr>
        <w:t>（3）公务员规范津贴补贴</w:t>
      </w:r>
      <w:r>
        <w:rPr>
          <w:rFonts w:hint="eastAsia" w:eastAsia="方正仿宋_GBK" w:cs="Times New Roman"/>
          <w:b w:val="0"/>
          <w:bCs/>
          <w:color w:val="auto"/>
          <w:sz w:val="32"/>
          <w:szCs w:val="32"/>
          <w:highlight w:val="none"/>
          <w:lang w:val="en-US" w:eastAsia="zh-CN"/>
        </w:rPr>
        <w:t>1970</w:t>
      </w:r>
      <w:r>
        <w:rPr>
          <w:rFonts w:hint="default" w:ascii="Times New Roman" w:hAnsi="Times New Roman" w:eastAsia="方正仿宋_GBK" w:cs="Times New Roman"/>
          <w:b w:val="0"/>
          <w:bCs/>
          <w:color w:val="auto"/>
          <w:sz w:val="32"/>
          <w:szCs w:val="32"/>
          <w:highlight w:val="none"/>
          <w:lang w:val="en-US" w:eastAsia="zh-CN"/>
        </w:rPr>
        <w:t>人，年需求数</w:t>
      </w:r>
      <w:r>
        <w:rPr>
          <w:rFonts w:hint="eastAsia" w:eastAsia="方正仿宋_GBK" w:cs="Times New Roman"/>
          <w:b w:val="0"/>
          <w:bCs/>
          <w:color w:val="auto"/>
          <w:sz w:val="32"/>
          <w:szCs w:val="32"/>
          <w:highlight w:val="none"/>
          <w:lang w:val="en-US" w:eastAsia="zh-CN"/>
        </w:rPr>
        <w:t>7879</w:t>
      </w:r>
      <w:r>
        <w:rPr>
          <w:rFonts w:hint="default" w:ascii="Times New Roman" w:hAnsi="Times New Roman" w:eastAsia="方正仿宋_GBK" w:cs="Times New Roman"/>
          <w:b w:val="0"/>
          <w:bCs/>
          <w:color w:val="auto"/>
          <w:sz w:val="32"/>
          <w:szCs w:val="32"/>
          <w:highlight w:val="none"/>
          <w:lang w:val="en-US" w:eastAsia="zh-CN"/>
        </w:rPr>
        <w:t>万元，预算安排数</w:t>
      </w:r>
      <w:r>
        <w:rPr>
          <w:rFonts w:hint="eastAsia" w:eastAsia="方正仿宋_GBK" w:cs="Times New Roman"/>
          <w:b w:val="0"/>
          <w:bCs/>
          <w:color w:val="auto"/>
          <w:sz w:val="32"/>
          <w:szCs w:val="32"/>
          <w:highlight w:val="none"/>
          <w:lang w:val="en-US" w:eastAsia="zh-CN"/>
        </w:rPr>
        <w:t>7879</w:t>
      </w:r>
      <w:r>
        <w:rPr>
          <w:rFonts w:hint="default" w:ascii="Times New Roman" w:hAnsi="Times New Roman" w:eastAsia="方正仿宋_GBK" w:cs="Times New Roman"/>
          <w:b w:val="0"/>
          <w:bCs/>
          <w:color w:val="auto"/>
          <w:sz w:val="32"/>
          <w:szCs w:val="32"/>
          <w:highlight w:val="none"/>
          <w:lang w:val="en-US" w:eastAsia="zh-CN"/>
        </w:rPr>
        <w:t>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b w:val="0"/>
          <w:bCs/>
          <w:color w:val="auto"/>
          <w:sz w:val="32"/>
          <w:szCs w:val="32"/>
          <w:highlight w:val="none"/>
          <w:lang w:val="en-US" w:eastAsia="zh-CN"/>
        </w:rPr>
      </w:pPr>
      <w:r>
        <w:rPr>
          <w:rFonts w:hint="default" w:ascii="Times New Roman" w:hAnsi="Times New Roman" w:eastAsia="方正仿宋_GBK" w:cs="Times New Roman"/>
          <w:b w:val="0"/>
          <w:bCs/>
          <w:color w:val="auto"/>
          <w:sz w:val="32"/>
          <w:szCs w:val="32"/>
          <w:highlight w:val="none"/>
          <w:lang w:val="en-US" w:eastAsia="zh-CN"/>
        </w:rPr>
        <w:t>（4）公务员基础绩效奖19</w:t>
      </w:r>
      <w:r>
        <w:rPr>
          <w:rFonts w:hint="eastAsia" w:eastAsia="方正仿宋_GBK" w:cs="Times New Roman"/>
          <w:b w:val="0"/>
          <w:bCs/>
          <w:color w:val="auto"/>
          <w:sz w:val="32"/>
          <w:szCs w:val="32"/>
          <w:highlight w:val="none"/>
          <w:lang w:val="en-US" w:eastAsia="zh-CN"/>
        </w:rPr>
        <w:t>70</w:t>
      </w:r>
      <w:r>
        <w:rPr>
          <w:rFonts w:hint="default" w:ascii="Times New Roman" w:hAnsi="Times New Roman" w:eastAsia="方正仿宋_GBK" w:cs="Times New Roman"/>
          <w:b w:val="0"/>
          <w:bCs/>
          <w:color w:val="auto"/>
          <w:sz w:val="32"/>
          <w:szCs w:val="32"/>
          <w:highlight w:val="none"/>
          <w:lang w:val="en-US" w:eastAsia="zh-CN"/>
        </w:rPr>
        <w:t>人，年需求数4892万元，预算安排数4892万元；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b w:val="0"/>
          <w:bCs/>
          <w:color w:val="auto"/>
          <w:sz w:val="32"/>
          <w:szCs w:val="32"/>
          <w:highlight w:val="none"/>
          <w:lang w:val="en-US" w:eastAsia="zh-CN"/>
        </w:rPr>
      </w:pPr>
      <w:r>
        <w:rPr>
          <w:rFonts w:hint="default" w:ascii="Times New Roman" w:hAnsi="Times New Roman" w:eastAsia="方正仿宋_GBK" w:cs="Times New Roman"/>
          <w:b w:val="0"/>
          <w:bCs/>
          <w:color w:val="auto"/>
          <w:sz w:val="32"/>
          <w:szCs w:val="32"/>
          <w:highlight w:val="none"/>
          <w:lang w:val="en-US" w:eastAsia="zh-CN"/>
        </w:rPr>
        <w:t>（5）事业单位绩效工资5</w:t>
      </w:r>
      <w:r>
        <w:rPr>
          <w:rFonts w:hint="eastAsia" w:eastAsia="方正仿宋_GBK" w:cs="Times New Roman"/>
          <w:b w:val="0"/>
          <w:bCs/>
          <w:color w:val="auto"/>
          <w:sz w:val="32"/>
          <w:szCs w:val="32"/>
          <w:highlight w:val="none"/>
          <w:lang w:val="en-US" w:eastAsia="zh-CN"/>
        </w:rPr>
        <w:t>772</w:t>
      </w:r>
      <w:r>
        <w:rPr>
          <w:rFonts w:hint="default" w:ascii="Times New Roman" w:hAnsi="Times New Roman" w:eastAsia="方正仿宋_GBK" w:cs="Times New Roman"/>
          <w:b w:val="0"/>
          <w:bCs/>
          <w:color w:val="auto"/>
          <w:sz w:val="32"/>
          <w:szCs w:val="32"/>
          <w:highlight w:val="none"/>
          <w:lang w:val="en-US" w:eastAsia="zh-CN"/>
        </w:rPr>
        <w:t>人，年需求数27910万元，预算安排数27910万元；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b w:val="0"/>
          <w:bCs/>
          <w:color w:val="auto"/>
          <w:sz w:val="32"/>
          <w:szCs w:val="32"/>
          <w:highlight w:val="none"/>
          <w:lang w:val="en-US" w:eastAsia="zh-CN"/>
        </w:rPr>
      </w:pPr>
      <w:r>
        <w:rPr>
          <w:rFonts w:hint="default" w:ascii="Times New Roman" w:hAnsi="Times New Roman" w:eastAsia="方正仿宋_GBK" w:cs="Times New Roman"/>
          <w:b w:val="0"/>
          <w:bCs/>
          <w:color w:val="auto"/>
          <w:sz w:val="32"/>
          <w:szCs w:val="32"/>
          <w:highlight w:val="none"/>
          <w:lang w:val="en-US" w:eastAsia="zh-CN"/>
        </w:rPr>
        <w:t>（6）艰苦边远地区津贴</w:t>
      </w:r>
      <w:r>
        <w:rPr>
          <w:rFonts w:hint="eastAsia" w:eastAsia="方正仿宋_GBK" w:cs="Times New Roman"/>
          <w:b w:val="0"/>
          <w:bCs/>
          <w:color w:val="auto"/>
          <w:sz w:val="32"/>
          <w:szCs w:val="32"/>
          <w:highlight w:val="none"/>
          <w:lang w:val="en-US" w:eastAsia="zh-CN"/>
        </w:rPr>
        <w:t>7742</w:t>
      </w:r>
      <w:r>
        <w:rPr>
          <w:rFonts w:hint="default" w:ascii="Times New Roman" w:hAnsi="Times New Roman" w:eastAsia="方正仿宋_GBK" w:cs="Times New Roman"/>
          <w:b w:val="0"/>
          <w:bCs/>
          <w:color w:val="auto"/>
          <w:sz w:val="32"/>
          <w:szCs w:val="32"/>
          <w:highlight w:val="none"/>
          <w:lang w:val="en-US" w:eastAsia="zh-CN"/>
        </w:rPr>
        <w:t>人，年需求数11</w:t>
      </w:r>
      <w:r>
        <w:rPr>
          <w:rFonts w:hint="eastAsia" w:eastAsia="方正仿宋_GBK" w:cs="Times New Roman"/>
          <w:b w:val="0"/>
          <w:bCs/>
          <w:color w:val="auto"/>
          <w:sz w:val="32"/>
          <w:szCs w:val="32"/>
          <w:highlight w:val="none"/>
          <w:lang w:val="en-US" w:eastAsia="zh-CN"/>
        </w:rPr>
        <w:t>528</w:t>
      </w:r>
      <w:r>
        <w:rPr>
          <w:rFonts w:hint="default" w:ascii="Times New Roman" w:hAnsi="Times New Roman" w:eastAsia="方正仿宋_GBK" w:cs="Times New Roman"/>
          <w:b w:val="0"/>
          <w:bCs/>
          <w:color w:val="auto"/>
          <w:sz w:val="32"/>
          <w:szCs w:val="32"/>
          <w:highlight w:val="none"/>
          <w:lang w:val="en-US" w:eastAsia="zh-CN"/>
        </w:rPr>
        <w:t>万元，预算安排数11</w:t>
      </w:r>
      <w:r>
        <w:rPr>
          <w:rFonts w:hint="eastAsia" w:eastAsia="方正仿宋_GBK" w:cs="Times New Roman"/>
          <w:b w:val="0"/>
          <w:bCs/>
          <w:color w:val="auto"/>
          <w:sz w:val="32"/>
          <w:szCs w:val="32"/>
          <w:highlight w:val="none"/>
          <w:lang w:val="en-US" w:eastAsia="zh-CN"/>
        </w:rPr>
        <w:t>528</w:t>
      </w:r>
      <w:r>
        <w:rPr>
          <w:rFonts w:hint="default" w:ascii="Times New Roman" w:hAnsi="Times New Roman" w:eastAsia="方正仿宋_GBK" w:cs="Times New Roman"/>
          <w:b w:val="0"/>
          <w:bCs/>
          <w:color w:val="auto"/>
          <w:sz w:val="32"/>
          <w:szCs w:val="32"/>
          <w:highlight w:val="none"/>
          <w:lang w:val="en-US" w:eastAsia="zh-CN"/>
        </w:rPr>
        <w:t>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b w:val="0"/>
          <w:bCs/>
          <w:color w:val="auto"/>
          <w:sz w:val="32"/>
          <w:szCs w:val="32"/>
          <w:highlight w:val="none"/>
          <w:lang w:val="en-US" w:eastAsia="zh-CN"/>
        </w:rPr>
      </w:pPr>
      <w:r>
        <w:rPr>
          <w:rFonts w:hint="default" w:ascii="Times New Roman" w:hAnsi="Times New Roman" w:eastAsia="方正仿宋_GBK" w:cs="Times New Roman"/>
          <w:b w:val="0"/>
          <w:bCs/>
          <w:color w:val="auto"/>
          <w:sz w:val="32"/>
          <w:szCs w:val="32"/>
          <w:highlight w:val="none"/>
          <w:lang w:val="en-US" w:eastAsia="zh-CN"/>
        </w:rPr>
        <w:t>（7）在职工资附加支出77</w:t>
      </w:r>
      <w:r>
        <w:rPr>
          <w:rFonts w:hint="eastAsia" w:eastAsia="方正仿宋_GBK" w:cs="Times New Roman"/>
          <w:b w:val="0"/>
          <w:bCs/>
          <w:color w:val="auto"/>
          <w:sz w:val="32"/>
          <w:szCs w:val="32"/>
          <w:highlight w:val="none"/>
          <w:lang w:val="en-US" w:eastAsia="zh-CN"/>
        </w:rPr>
        <w:t>42</w:t>
      </w:r>
      <w:r>
        <w:rPr>
          <w:rFonts w:hint="default" w:ascii="Times New Roman" w:hAnsi="Times New Roman" w:eastAsia="方正仿宋_GBK" w:cs="Times New Roman"/>
          <w:b w:val="0"/>
          <w:bCs/>
          <w:color w:val="auto"/>
          <w:sz w:val="32"/>
          <w:szCs w:val="32"/>
          <w:highlight w:val="none"/>
          <w:lang w:val="en-US" w:eastAsia="zh-CN"/>
        </w:rPr>
        <w:t>人，年需求数3</w:t>
      </w:r>
      <w:r>
        <w:rPr>
          <w:rFonts w:hint="eastAsia" w:eastAsia="方正仿宋_GBK" w:cs="Times New Roman"/>
          <w:b w:val="0"/>
          <w:bCs/>
          <w:color w:val="auto"/>
          <w:sz w:val="32"/>
          <w:szCs w:val="32"/>
          <w:highlight w:val="none"/>
          <w:lang w:val="en-US" w:eastAsia="zh-CN"/>
        </w:rPr>
        <w:t>6958</w:t>
      </w:r>
      <w:r>
        <w:rPr>
          <w:rFonts w:hint="default" w:ascii="Times New Roman" w:hAnsi="Times New Roman" w:eastAsia="方正仿宋_GBK" w:cs="Times New Roman"/>
          <w:b w:val="0"/>
          <w:bCs/>
          <w:color w:val="auto"/>
          <w:sz w:val="32"/>
          <w:szCs w:val="32"/>
          <w:highlight w:val="none"/>
          <w:lang w:val="en-US" w:eastAsia="zh-CN"/>
        </w:rPr>
        <w:t>万元，算安排数3</w:t>
      </w:r>
      <w:r>
        <w:rPr>
          <w:rFonts w:hint="eastAsia" w:eastAsia="方正仿宋_GBK" w:cs="Times New Roman"/>
          <w:b w:val="0"/>
          <w:bCs/>
          <w:color w:val="auto"/>
          <w:sz w:val="32"/>
          <w:szCs w:val="32"/>
          <w:highlight w:val="none"/>
          <w:lang w:val="en-US" w:eastAsia="zh-CN"/>
        </w:rPr>
        <w:t>6958</w:t>
      </w:r>
      <w:r>
        <w:rPr>
          <w:rFonts w:hint="default" w:ascii="Times New Roman" w:hAnsi="Times New Roman" w:eastAsia="方正仿宋_GBK" w:cs="Times New Roman"/>
          <w:b w:val="0"/>
          <w:bCs/>
          <w:color w:val="auto"/>
          <w:sz w:val="32"/>
          <w:szCs w:val="32"/>
          <w:highlight w:val="none"/>
          <w:lang w:val="en-US" w:eastAsia="zh-CN"/>
        </w:rPr>
        <w:t>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b w:val="0"/>
          <w:bCs/>
          <w:color w:val="auto"/>
          <w:sz w:val="32"/>
          <w:szCs w:val="32"/>
          <w:highlight w:val="none"/>
          <w:lang w:val="en-US" w:eastAsia="zh-CN"/>
        </w:rPr>
      </w:pPr>
      <w:r>
        <w:rPr>
          <w:rFonts w:hint="default" w:ascii="Times New Roman" w:hAnsi="Times New Roman" w:eastAsia="方正仿宋_GBK" w:cs="Times New Roman"/>
          <w:b w:val="0"/>
          <w:bCs/>
          <w:color w:val="auto"/>
          <w:sz w:val="32"/>
          <w:szCs w:val="32"/>
          <w:highlight w:val="none"/>
          <w:lang w:val="en-US" w:eastAsia="zh-CN"/>
        </w:rPr>
        <w:t>（8）岗位津贴3819人，年需求数2</w:t>
      </w:r>
      <w:r>
        <w:rPr>
          <w:rFonts w:hint="eastAsia" w:eastAsia="方正仿宋_GBK" w:cs="Times New Roman"/>
          <w:b w:val="0"/>
          <w:bCs/>
          <w:color w:val="auto"/>
          <w:sz w:val="32"/>
          <w:szCs w:val="32"/>
          <w:highlight w:val="none"/>
          <w:lang w:val="en-US" w:eastAsia="zh-CN"/>
        </w:rPr>
        <w:t>779</w:t>
      </w:r>
      <w:r>
        <w:rPr>
          <w:rFonts w:hint="default" w:ascii="Times New Roman" w:hAnsi="Times New Roman" w:eastAsia="方正仿宋_GBK" w:cs="Times New Roman"/>
          <w:b w:val="0"/>
          <w:bCs/>
          <w:color w:val="auto"/>
          <w:sz w:val="32"/>
          <w:szCs w:val="32"/>
          <w:highlight w:val="none"/>
          <w:lang w:val="en-US" w:eastAsia="zh-CN"/>
        </w:rPr>
        <w:t>万元，预算安排数</w:t>
      </w:r>
      <w:r>
        <w:rPr>
          <w:rFonts w:hint="eastAsia" w:eastAsia="方正仿宋_GBK" w:cs="Times New Roman"/>
          <w:b w:val="0"/>
          <w:bCs/>
          <w:color w:val="auto"/>
          <w:sz w:val="32"/>
          <w:szCs w:val="32"/>
          <w:highlight w:val="none"/>
          <w:lang w:val="en-US" w:eastAsia="zh-CN"/>
        </w:rPr>
        <w:t>2779</w:t>
      </w:r>
      <w:r>
        <w:rPr>
          <w:rFonts w:hint="default" w:ascii="Times New Roman" w:hAnsi="Times New Roman" w:eastAsia="方正仿宋_GBK" w:cs="Times New Roman"/>
          <w:b w:val="0"/>
          <w:bCs/>
          <w:color w:val="auto"/>
          <w:sz w:val="32"/>
          <w:szCs w:val="32"/>
          <w:highlight w:val="none"/>
          <w:lang w:val="en-US" w:eastAsia="zh-CN"/>
        </w:rPr>
        <w:t>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b w:val="0"/>
          <w:bCs/>
          <w:color w:val="auto"/>
          <w:sz w:val="32"/>
          <w:szCs w:val="32"/>
          <w:highlight w:val="none"/>
          <w:lang w:val="en-US" w:eastAsia="zh-CN"/>
        </w:rPr>
      </w:pPr>
      <w:r>
        <w:rPr>
          <w:rFonts w:hint="default" w:ascii="Times New Roman" w:hAnsi="Times New Roman" w:eastAsia="方正仿宋_GBK" w:cs="Times New Roman"/>
          <w:b w:val="0"/>
          <w:bCs/>
          <w:color w:val="auto"/>
          <w:sz w:val="32"/>
          <w:szCs w:val="32"/>
          <w:highlight w:val="none"/>
          <w:lang w:val="en-US" w:eastAsia="zh-CN"/>
        </w:rPr>
        <w:t>（9）离休人员经费0人，年需求数0万元，预算安排数0万元；</w:t>
      </w:r>
    </w:p>
    <w:p>
      <w:pPr>
        <w:pStyle w:val="2"/>
        <w:ind w:left="0" w:leftChars="0" w:firstLine="0" w:firstLineChars="0"/>
        <w:rPr>
          <w:rFonts w:hint="default"/>
          <w:lang w:val="en-US" w:eastAsia="zh-CN"/>
        </w:rPr>
      </w:pPr>
    </w:p>
    <w:p>
      <w:pPr>
        <w:keepNext w:val="0"/>
        <w:keepLines w:val="0"/>
        <w:pageBreakBefore w:val="0"/>
        <w:widowControl w:val="0"/>
        <w:kinsoku/>
        <w:wordWrap/>
        <w:overflowPunct/>
        <w:topLinePunct w:val="0"/>
        <w:autoSpaceDE/>
        <w:bidi w:val="0"/>
        <w:spacing w:line="620" w:lineRule="exact"/>
        <w:ind w:firstLine="643" w:firstLineChars="200"/>
        <w:textAlignment w:val="auto"/>
        <w:rPr>
          <w:rFonts w:hint="default" w:ascii="Times New Roman" w:hAnsi="Times New Roman" w:eastAsia="方正仿宋_GBK" w:cs="Times New Roman"/>
          <w:b/>
          <w:bCs/>
          <w:sz w:val="32"/>
          <w:szCs w:val="32"/>
          <w:highlight w:val="none"/>
          <w:lang w:val="en-US" w:eastAsia="zh-CN"/>
        </w:rPr>
      </w:pPr>
      <w:r>
        <w:rPr>
          <w:rFonts w:hint="default" w:ascii="Times New Roman" w:hAnsi="Times New Roman" w:eastAsia="方正仿宋_GBK" w:cs="Times New Roman"/>
          <w:b/>
          <w:bCs/>
          <w:sz w:val="32"/>
          <w:szCs w:val="32"/>
          <w:highlight w:val="none"/>
          <w:lang w:val="en-US" w:eastAsia="zh-CN"/>
        </w:rPr>
        <w:t>2.“保运转”支出2054万元。</w:t>
      </w:r>
    </w:p>
    <w:p>
      <w:pPr>
        <w:keepNext w:val="0"/>
        <w:keepLines w:val="0"/>
        <w:pageBreakBefore w:val="0"/>
        <w:widowControl w:val="0"/>
        <w:kinsoku/>
        <w:wordWrap/>
        <w:overflowPunct/>
        <w:topLinePunct w:val="0"/>
        <w:autoSpaceDE/>
        <w:autoSpaceDN/>
        <w:bidi w:val="0"/>
        <w:adjustRightInd w:val="0"/>
        <w:snapToGrid w:val="0"/>
        <w:spacing w:beforeAutospacing="0" w:afterAutospacing="0" w:line="620" w:lineRule="exact"/>
        <w:ind w:firstLine="640" w:firstLineChars="200"/>
        <w:jc w:val="both"/>
        <w:textAlignment w:val="auto"/>
        <w:rPr>
          <w:rFonts w:hint="default" w:ascii="Times New Roman" w:hAnsi="Times New Roman" w:eastAsia="方正仿宋_GBK" w:cs="Times New Roman"/>
          <w:b w:val="0"/>
          <w:bCs/>
          <w:color w:val="auto"/>
          <w:sz w:val="32"/>
          <w:szCs w:val="32"/>
          <w:highlight w:val="none"/>
          <w:lang w:val="en-US" w:eastAsia="zh-CN"/>
        </w:rPr>
      </w:pPr>
      <w:r>
        <w:rPr>
          <w:rFonts w:hint="default" w:ascii="Times New Roman" w:hAnsi="Times New Roman" w:eastAsia="方正仿宋_GBK" w:cs="Times New Roman"/>
          <w:b w:val="0"/>
          <w:bCs/>
          <w:color w:val="auto"/>
          <w:sz w:val="32"/>
          <w:szCs w:val="32"/>
          <w:highlight w:val="none"/>
          <w:lang w:val="en-US" w:eastAsia="zh-CN"/>
        </w:rPr>
        <w:t>（1）行政部门225</w:t>
      </w:r>
      <w:r>
        <w:rPr>
          <w:rFonts w:hint="eastAsia" w:eastAsia="方正仿宋_GBK" w:cs="Times New Roman"/>
          <w:b w:val="0"/>
          <w:bCs/>
          <w:color w:val="auto"/>
          <w:sz w:val="32"/>
          <w:szCs w:val="32"/>
          <w:highlight w:val="none"/>
          <w:lang w:val="en-US" w:eastAsia="zh-CN"/>
        </w:rPr>
        <w:t>6</w:t>
      </w:r>
      <w:r>
        <w:rPr>
          <w:rFonts w:hint="default" w:ascii="Times New Roman" w:hAnsi="Times New Roman" w:eastAsia="方正仿宋_GBK" w:cs="Times New Roman"/>
          <w:b w:val="0"/>
          <w:bCs/>
          <w:color w:val="auto"/>
          <w:sz w:val="32"/>
          <w:szCs w:val="32"/>
          <w:highlight w:val="none"/>
          <w:lang w:val="en-US" w:eastAsia="zh-CN"/>
        </w:rPr>
        <w:t>人，年需求数1155万元，年安排数1155万元；</w:t>
      </w:r>
    </w:p>
    <w:p>
      <w:pPr>
        <w:keepNext w:val="0"/>
        <w:keepLines w:val="0"/>
        <w:pageBreakBefore w:val="0"/>
        <w:widowControl w:val="0"/>
        <w:kinsoku/>
        <w:wordWrap/>
        <w:overflowPunct/>
        <w:topLinePunct w:val="0"/>
        <w:autoSpaceDE/>
        <w:autoSpaceDN/>
        <w:bidi w:val="0"/>
        <w:adjustRightInd w:val="0"/>
        <w:snapToGrid w:val="0"/>
        <w:spacing w:beforeAutospacing="0" w:afterAutospacing="0" w:line="620" w:lineRule="exact"/>
        <w:ind w:firstLine="640" w:firstLineChars="200"/>
        <w:jc w:val="both"/>
        <w:textAlignment w:val="auto"/>
        <w:rPr>
          <w:rFonts w:hint="default" w:ascii="Times New Roman" w:hAnsi="Times New Roman" w:eastAsia="方正仿宋_GBK" w:cs="Times New Roman"/>
          <w:b w:val="0"/>
          <w:bCs/>
          <w:color w:val="auto"/>
          <w:sz w:val="32"/>
          <w:szCs w:val="32"/>
          <w:highlight w:val="none"/>
          <w:lang w:val="en-US" w:eastAsia="zh-CN"/>
        </w:rPr>
      </w:pPr>
      <w:r>
        <w:rPr>
          <w:rFonts w:hint="default" w:ascii="Times New Roman" w:hAnsi="Times New Roman" w:eastAsia="方正仿宋_GBK" w:cs="Times New Roman"/>
          <w:b w:val="0"/>
          <w:bCs/>
          <w:color w:val="auto"/>
          <w:sz w:val="32"/>
          <w:szCs w:val="32"/>
          <w:highlight w:val="none"/>
          <w:lang w:val="en-US" w:eastAsia="zh-CN"/>
        </w:rPr>
        <w:t xml:space="preserve">（2）公检法部门424人，年需求数573万元，年安排数573万元； </w:t>
      </w:r>
    </w:p>
    <w:p>
      <w:pPr>
        <w:keepNext w:val="0"/>
        <w:keepLines w:val="0"/>
        <w:pageBreakBefore w:val="0"/>
        <w:widowControl w:val="0"/>
        <w:kinsoku/>
        <w:wordWrap/>
        <w:overflowPunct/>
        <w:topLinePunct w:val="0"/>
        <w:autoSpaceDE/>
        <w:autoSpaceDN/>
        <w:bidi w:val="0"/>
        <w:adjustRightInd w:val="0"/>
        <w:snapToGrid w:val="0"/>
        <w:spacing w:beforeAutospacing="0" w:afterAutospacing="0" w:line="620" w:lineRule="exact"/>
        <w:ind w:firstLine="640" w:firstLineChars="200"/>
        <w:jc w:val="both"/>
        <w:textAlignment w:val="auto"/>
        <w:rPr>
          <w:rFonts w:hint="default" w:ascii="Times New Roman" w:hAnsi="Times New Roman" w:eastAsia="方正仿宋_GBK" w:cs="Times New Roman"/>
          <w:b w:val="0"/>
          <w:bCs/>
          <w:color w:val="auto"/>
          <w:sz w:val="32"/>
          <w:szCs w:val="32"/>
          <w:highlight w:val="none"/>
          <w:lang w:val="en-US" w:eastAsia="zh-CN"/>
        </w:rPr>
      </w:pPr>
      <w:r>
        <w:rPr>
          <w:rFonts w:hint="default" w:ascii="Times New Roman" w:hAnsi="Times New Roman" w:eastAsia="方正仿宋_GBK" w:cs="Times New Roman"/>
          <w:b w:val="0"/>
          <w:bCs/>
          <w:color w:val="auto"/>
          <w:sz w:val="32"/>
          <w:szCs w:val="32"/>
          <w:highlight w:val="none"/>
          <w:lang w:val="en-US" w:eastAsia="zh-CN"/>
        </w:rPr>
        <w:t>（3）其他部门</w:t>
      </w:r>
      <w:r>
        <w:rPr>
          <w:rFonts w:hint="eastAsia" w:eastAsia="方正仿宋_GBK" w:cs="Times New Roman"/>
          <w:b w:val="0"/>
          <w:bCs/>
          <w:color w:val="auto"/>
          <w:sz w:val="32"/>
          <w:szCs w:val="32"/>
          <w:highlight w:val="none"/>
          <w:lang w:val="en-US" w:eastAsia="zh-CN"/>
        </w:rPr>
        <w:t>299</w:t>
      </w:r>
      <w:r>
        <w:rPr>
          <w:rFonts w:hint="default" w:ascii="Times New Roman" w:hAnsi="Times New Roman" w:eastAsia="方正仿宋_GBK" w:cs="Times New Roman"/>
          <w:b w:val="0"/>
          <w:bCs/>
          <w:color w:val="auto"/>
          <w:sz w:val="32"/>
          <w:szCs w:val="32"/>
          <w:highlight w:val="none"/>
          <w:lang w:val="en-US" w:eastAsia="zh-CN"/>
        </w:rPr>
        <w:t>人，年需求数326万元，年安排数326万元；</w:t>
      </w:r>
    </w:p>
    <w:p>
      <w:pPr>
        <w:keepNext w:val="0"/>
        <w:keepLines w:val="0"/>
        <w:pageBreakBefore w:val="0"/>
        <w:widowControl w:val="0"/>
        <w:kinsoku/>
        <w:wordWrap/>
        <w:overflowPunct/>
        <w:topLinePunct w:val="0"/>
        <w:autoSpaceDE/>
        <w:bidi w:val="0"/>
        <w:spacing w:line="620" w:lineRule="exact"/>
        <w:ind w:firstLine="643" w:firstLineChars="200"/>
        <w:textAlignment w:val="auto"/>
        <w:rPr>
          <w:rFonts w:hint="default" w:ascii="Times New Roman" w:hAnsi="Times New Roman" w:eastAsia="方正仿宋_GBK" w:cs="Times New Roman"/>
          <w:b/>
          <w:bCs/>
          <w:sz w:val="32"/>
          <w:szCs w:val="32"/>
          <w:highlight w:val="none"/>
          <w:lang w:val="en-US" w:eastAsia="zh-CN"/>
        </w:rPr>
      </w:pPr>
      <w:r>
        <w:rPr>
          <w:rFonts w:hint="default" w:ascii="Times New Roman" w:hAnsi="Times New Roman" w:eastAsia="方正仿宋_GBK" w:cs="Times New Roman"/>
          <w:b/>
          <w:bCs/>
          <w:sz w:val="32"/>
          <w:szCs w:val="32"/>
          <w:highlight w:val="none"/>
          <w:lang w:val="en-US" w:eastAsia="zh-CN"/>
        </w:rPr>
        <w:t>3.“保民生”支出预算59581万元。（按具体人数及标准测算安排，不含政府性基金老年人福利补贴事项128.1万元）</w:t>
      </w:r>
    </w:p>
    <w:bookmarkEnd w:id="1"/>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b w:val="0"/>
          <w:bCs/>
          <w:color w:val="auto"/>
          <w:sz w:val="32"/>
          <w:szCs w:val="32"/>
          <w:highlight w:val="none"/>
          <w:lang w:val="en-US" w:eastAsia="zh-CN"/>
        </w:rPr>
      </w:pPr>
      <w:r>
        <w:rPr>
          <w:rFonts w:hint="default" w:ascii="Times New Roman" w:hAnsi="Times New Roman" w:eastAsia="方正仿宋_GBK" w:cs="Times New Roman"/>
          <w:b w:val="0"/>
          <w:bCs/>
          <w:color w:val="auto"/>
          <w:sz w:val="32"/>
          <w:szCs w:val="32"/>
          <w:highlight w:val="none"/>
          <w:lang w:val="en-US" w:eastAsia="zh-CN"/>
        </w:rPr>
        <w:t>（1）教育类支出预算安排数1447</w:t>
      </w:r>
      <w:r>
        <w:rPr>
          <w:rFonts w:hint="eastAsia" w:eastAsia="方正仿宋_GBK" w:cs="Times New Roman"/>
          <w:b w:val="0"/>
          <w:bCs/>
          <w:color w:val="auto"/>
          <w:sz w:val="32"/>
          <w:szCs w:val="32"/>
          <w:highlight w:val="none"/>
          <w:lang w:val="en-US" w:eastAsia="zh-CN"/>
        </w:rPr>
        <w:t>2</w:t>
      </w:r>
      <w:r>
        <w:rPr>
          <w:rFonts w:hint="default" w:ascii="Times New Roman" w:hAnsi="Times New Roman" w:eastAsia="方正仿宋_GBK" w:cs="Times New Roman"/>
          <w:b w:val="0"/>
          <w:bCs/>
          <w:color w:val="auto"/>
          <w:sz w:val="32"/>
          <w:szCs w:val="32"/>
          <w:highlight w:val="none"/>
          <w:lang w:val="en-US" w:eastAsia="zh-CN"/>
        </w:rPr>
        <w:t>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b w:val="0"/>
          <w:bCs/>
          <w:color w:val="auto"/>
          <w:sz w:val="32"/>
          <w:szCs w:val="32"/>
          <w:highlight w:val="none"/>
          <w:lang w:val="en-US" w:eastAsia="zh-CN"/>
        </w:rPr>
      </w:pPr>
      <w:r>
        <w:rPr>
          <w:rFonts w:hint="default" w:ascii="Times New Roman" w:hAnsi="Times New Roman" w:eastAsia="方正仿宋_GBK" w:cs="Times New Roman"/>
          <w:b w:val="0"/>
          <w:bCs/>
          <w:color w:val="auto"/>
          <w:sz w:val="32"/>
          <w:szCs w:val="32"/>
          <w:highlight w:val="none"/>
          <w:lang w:val="en-US" w:eastAsia="zh-CN"/>
        </w:rPr>
        <w:t>（2）社会保障类支出预算安排数14861万元。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b w:val="0"/>
          <w:bCs/>
          <w:color w:val="auto"/>
          <w:sz w:val="32"/>
          <w:szCs w:val="32"/>
          <w:highlight w:val="none"/>
          <w:lang w:val="en-US" w:eastAsia="zh-CN"/>
        </w:rPr>
      </w:pPr>
      <w:r>
        <w:rPr>
          <w:rFonts w:hint="default" w:ascii="Times New Roman" w:hAnsi="Times New Roman" w:eastAsia="方正仿宋_GBK" w:cs="Times New Roman"/>
          <w:b w:val="0"/>
          <w:bCs/>
          <w:color w:val="auto"/>
          <w:sz w:val="32"/>
          <w:szCs w:val="32"/>
          <w:highlight w:val="none"/>
          <w:lang w:val="en-US" w:eastAsia="zh-CN"/>
        </w:rPr>
        <w:t>（3）卫生健康类支出预算安排数2161万元。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b w:val="0"/>
          <w:bCs/>
          <w:color w:val="auto"/>
          <w:sz w:val="32"/>
          <w:szCs w:val="32"/>
          <w:highlight w:val="none"/>
          <w:lang w:val="en-US" w:eastAsia="zh-CN"/>
        </w:rPr>
      </w:pPr>
      <w:r>
        <w:rPr>
          <w:rFonts w:hint="default" w:ascii="Times New Roman" w:hAnsi="Times New Roman" w:eastAsia="方正仿宋_GBK" w:cs="Times New Roman"/>
          <w:b w:val="0"/>
          <w:bCs/>
          <w:color w:val="auto"/>
          <w:sz w:val="32"/>
          <w:szCs w:val="32"/>
          <w:highlight w:val="none"/>
          <w:lang w:val="en-US" w:eastAsia="zh-CN"/>
        </w:rPr>
        <w:t>（4）村级支出执行标准110000（年/元），年需求数万元1507万元，预算安排数1507万元。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b w:val="0"/>
          <w:bCs/>
          <w:color w:val="auto"/>
          <w:sz w:val="32"/>
          <w:szCs w:val="32"/>
          <w:highlight w:val="none"/>
          <w:lang w:val="en-US" w:eastAsia="zh-CN"/>
        </w:rPr>
      </w:pPr>
      <w:r>
        <w:rPr>
          <w:rFonts w:hint="default" w:ascii="Times New Roman" w:hAnsi="Times New Roman" w:eastAsia="方正仿宋_GBK" w:cs="Times New Roman"/>
          <w:b w:val="0"/>
          <w:bCs/>
          <w:color w:val="auto"/>
          <w:sz w:val="32"/>
          <w:szCs w:val="32"/>
          <w:highlight w:val="none"/>
          <w:lang w:val="en-US" w:eastAsia="zh-CN"/>
        </w:rPr>
        <w:t>（5）巩固拓展脱贫攻坚成果同乡村振兴衔接支出执行标准2000（年/元），预算安排数22640万元。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b w:val="0"/>
          <w:bCs/>
          <w:color w:val="auto"/>
          <w:sz w:val="32"/>
          <w:szCs w:val="32"/>
          <w:highlight w:val="none"/>
          <w:lang w:val="en-US" w:eastAsia="zh-CN"/>
        </w:rPr>
      </w:pPr>
      <w:r>
        <w:rPr>
          <w:rFonts w:hint="default" w:ascii="Times New Roman" w:hAnsi="Times New Roman" w:eastAsia="方正仿宋_GBK" w:cs="Times New Roman"/>
          <w:b w:val="0"/>
          <w:bCs/>
          <w:color w:val="auto"/>
          <w:sz w:val="32"/>
          <w:szCs w:val="32"/>
          <w:highlight w:val="none"/>
          <w:lang w:val="en-US" w:eastAsia="zh-CN"/>
        </w:rPr>
        <w:t>（6）其他基本民生支出预算安排数4069万元。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b w:val="0"/>
          <w:bCs/>
          <w:color w:val="auto"/>
          <w:sz w:val="32"/>
          <w:szCs w:val="32"/>
          <w:highlight w:val="none"/>
          <w:lang w:val="en-US" w:eastAsia="zh-CN"/>
        </w:rPr>
      </w:pPr>
      <w:r>
        <w:rPr>
          <w:rFonts w:hint="default" w:ascii="Times New Roman" w:hAnsi="Times New Roman" w:eastAsia="方正仿宋_GBK" w:cs="Times New Roman"/>
          <w:b w:val="0"/>
          <w:bCs/>
          <w:color w:val="auto"/>
          <w:sz w:val="32"/>
          <w:szCs w:val="32"/>
          <w:highlight w:val="none"/>
          <w:lang w:val="en-US" w:eastAsia="zh-CN"/>
        </w:rPr>
        <w:t>按照收支平衡原则，2025年“三保”预算可用财力预计306994万元，其中：保工资支出</w:t>
      </w:r>
      <w:r>
        <w:rPr>
          <w:rFonts w:hint="eastAsia" w:eastAsia="方正仿宋_GBK" w:cs="Times New Roman"/>
          <w:b w:val="0"/>
          <w:bCs/>
          <w:color w:val="auto"/>
          <w:sz w:val="32"/>
          <w:szCs w:val="32"/>
          <w:highlight w:val="none"/>
          <w:lang w:val="en-US" w:eastAsia="zh-CN"/>
        </w:rPr>
        <w:t>130845</w:t>
      </w:r>
      <w:r>
        <w:rPr>
          <w:rFonts w:hint="default" w:ascii="Times New Roman" w:hAnsi="Times New Roman" w:eastAsia="方正仿宋_GBK" w:cs="Times New Roman"/>
          <w:b w:val="0"/>
          <w:bCs/>
          <w:color w:val="auto"/>
          <w:sz w:val="32"/>
          <w:szCs w:val="32"/>
          <w:highlight w:val="none"/>
          <w:lang w:val="en-US" w:eastAsia="zh-CN"/>
        </w:rPr>
        <w:t>万元、“保运转”支出预算2054万元、“保民生”支出预算59581万元，“三保”预算支出19</w:t>
      </w:r>
      <w:r>
        <w:rPr>
          <w:rFonts w:hint="eastAsia" w:eastAsia="方正仿宋_GBK" w:cs="Times New Roman"/>
          <w:b w:val="0"/>
          <w:bCs/>
          <w:color w:val="auto"/>
          <w:sz w:val="32"/>
          <w:szCs w:val="32"/>
          <w:highlight w:val="none"/>
          <w:lang w:val="en-US" w:eastAsia="zh-CN"/>
        </w:rPr>
        <w:t>2480</w:t>
      </w:r>
      <w:r>
        <w:rPr>
          <w:rFonts w:hint="default" w:ascii="Times New Roman" w:hAnsi="Times New Roman" w:eastAsia="方正仿宋_GBK" w:cs="Times New Roman"/>
          <w:b w:val="0"/>
          <w:bCs/>
          <w:color w:val="auto"/>
          <w:sz w:val="32"/>
          <w:szCs w:val="32"/>
          <w:highlight w:val="none"/>
          <w:lang w:val="en-US" w:eastAsia="zh-CN"/>
        </w:rPr>
        <w:t>万元，可用财力可有效保障“三保”预算支出。</w:t>
      </w:r>
    </w:p>
    <w:p>
      <w:pPr>
        <w:keepNext w:val="0"/>
        <w:keepLines w:val="0"/>
        <w:pageBreakBefore w:val="0"/>
        <w:widowControl w:val="0"/>
        <w:kinsoku/>
        <w:wordWrap/>
        <w:overflowPunct/>
        <w:topLinePunct w:val="0"/>
        <w:autoSpaceDE/>
        <w:bidi w:val="0"/>
        <w:spacing w:line="620" w:lineRule="exact"/>
        <w:ind w:firstLine="616" w:firstLineChars="200"/>
        <w:textAlignment w:val="auto"/>
        <w:rPr>
          <w:rFonts w:hint="default" w:ascii="Times New Roman" w:hAnsi="Times New Roman" w:eastAsia="方正仿宋_GBK" w:cs="Times New Roman"/>
          <w:b/>
          <w:bCs/>
          <w:spacing w:val="-6"/>
          <w:sz w:val="32"/>
          <w:szCs w:val="32"/>
          <w:highlight w:val="none"/>
          <w:lang w:val="en-US" w:eastAsia="zh-CN"/>
        </w:rPr>
      </w:pPr>
      <w:r>
        <w:rPr>
          <w:rFonts w:hint="default" w:ascii="Times New Roman" w:hAnsi="Times New Roman" w:eastAsia="方正楷体_GBK" w:cs="Times New Roman"/>
          <w:b/>
          <w:bCs/>
          <w:spacing w:val="-6"/>
          <w:sz w:val="32"/>
          <w:szCs w:val="32"/>
          <w:highlight w:val="none"/>
          <w:lang w:val="en-US" w:eastAsia="zh-CN"/>
        </w:rPr>
        <w:t>（三）政府性基金预算</w:t>
      </w:r>
    </w:p>
    <w:p>
      <w:pPr>
        <w:keepNext w:val="0"/>
        <w:keepLines w:val="0"/>
        <w:pageBreakBefore w:val="0"/>
        <w:widowControl w:val="0"/>
        <w:kinsoku/>
        <w:wordWrap/>
        <w:overflowPunct/>
        <w:topLinePunct w:val="0"/>
        <w:autoSpaceDE/>
        <w:bidi w:val="0"/>
        <w:spacing w:line="620" w:lineRule="exact"/>
        <w:ind w:firstLine="643" w:firstLineChars="200"/>
        <w:textAlignment w:val="auto"/>
        <w:rPr>
          <w:rFonts w:hint="default" w:ascii="Times New Roman" w:hAnsi="Times New Roman" w:eastAsia="方正仿宋_GBK" w:cs="Times New Roman"/>
          <w:b/>
          <w:bCs/>
          <w:sz w:val="32"/>
          <w:szCs w:val="32"/>
          <w:highlight w:val="none"/>
        </w:rPr>
      </w:pPr>
      <w:r>
        <w:rPr>
          <w:rFonts w:hint="default" w:ascii="Times New Roman" w:hAnsi="Times New Roman" w:eastAsia="方正仿宋_GBK" w:cs="Times New Roman"/>
          <w:b/>
          <w:bCs/>
          <w:sz w:val="32"/>
          <w:szCs w:val="32"/>
          <w:highlight w:val="none"/>
          <w:lang w:val="en-US" w:eastAsia="zh-CN"/>
        </w:rPr>
        <w:t>1.</w:t>
      </w:r>
      <w:r>
        <w:rPr>
          <w:rFonts w:hint="default" w:ascii="Times New Roman" w:hAnsi="Times New Roman" w:eastAsia="方正仿宋_GBK" w:cs="Times New Roman"/>
          <w:b/>
          <w:bCs/>
          <w:sz w:val="32"/>
          <w:szCs w:val="32"/>
          <w:highlight w:val="none"/>
        </w:rPr>
        <w:t>全年政府性基金预算收入</w:t>
      </w:r>
      <w:r>
        <w:rPr>
          <w:rFonts w:hint="default" w:ascii="Times New Roman" w:hAnsi="Times New Roman" w:eastAsia="方正仿宋_GBK" w:cs="Times New Roman"/>
          <w:b/>
          <w:bCs/>
          <w:sz w:val="32"/>
          <w:szCs w:val="32"/>
          <w:highlight w:val="none"/>
          <w:lang w:val="en-US" w:eastAsia="zh-CN"/>
        </w:rPr>
        <w:t>71773</w:t>
      </w:r>
      <w:r>
        <w:rPr>
          <w:rFonts w:hint="default" w:ascii="Times New Roman" w:hAnsi="Times New Roman" w:eastAsia="方正仿宋_GBK" w:cs="Times New Roman"/>
          <w:b/>
          <w:bCs/>
          <w:sz w:val="32"/>
          <w:szCs w:val="32"/>
          <w:highlight w:val="none"/>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highlight w:val="none"/>
          <w:lang w:eastAsia="zh-CN"/>
        </w:rPr>
      </w:pPr>
      <w:r>
        <w:rPr>
          <w:rFonts w:hint="default" w:ascii="Times New Roman" w:hAnsi="Times New Roman" w:eastAsia="方正仿宋_GBK" w:cs="Times New Roman"/>
          <w:sz w:val="32"/>
          <w:szCs w:val="32"/>
          <w:highlight w:val="none"/>
          <w:lang w:val="en-US" w:eastAsia="zh-CN"/>
        </w:rPr>
        <w:t>（1）</w:t>
      </w:r>
      <w:r>
        <w:rPr>
          <w:rFonts w:hint="default" w:ascii="Times New Roman" w:hAnsi="Times New Roman" w:eastAsia="方正仿宋_GBK" w:cs="Times New Roman"/>
          <w:sz w:val="32"/>
          <w:szCs w:val="32"/>
          <w:highlight w:val="none"/>
        </w:rPr>
        <w:t>国有土地使用权出让收入</w:t>
      </w:r>
      <w:r>
        <w:rPr>
          <w:rFonts w:hint="default" w:ascii="Times New Roman" w:hAnsi="Times New Roman" w:eastAsia="方正仿宋_GBK" w:cs="Times New Roman"/>
          <w:sz w:val="32"/>
          <w:szCs w:val="32"/>
          <w:highlight w:val="none"/>
          <w:lang w:val="en-US" w:eastAsia="zh-CN"/>
        </w:rPr>
        <w:t>43000</w:t>
      </w:r>
      <w:r>
        <w:rPr>
          <w:rFonts w:hint="default" w:ascii="Times New Roman" w:hAnsi="Times New Roman" w:eastAsia="方正仿宋_GBK" w:cs="Times New Roman"/>
          <w:sz w:val="32"/>
          <w:szCs w:val="32"/>
          <w:highlight w:val="none"/>
        </w:rPr>
        <w:t>万元</w:t>
      </w:r>
      <w:r>
        <w:rPr>
          <w:rFonts w:hint="default" w:ascii="Times New Roman" w:hAnsi="Times New Roman" w:eastAsia="方正仿宋_GBK" w:cs="Times New Roman"/>
          <w:sz w:val="32"/>
          <w:szCs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val="en-US" w:eastAsia="zh-CN"/>
        </w:rPr>
        <w:t>（2）</w:t>
      </w:r>
      <w:r>
        <w:rPr>
          <w:rFonts w:hint="default" w:ascii="Times New Roman" w:hAnsi="Times New Roman" w:eastAsia="方正仿宋_GBK" w:cs="Times New Roman"/>
          <w:sz w:val="32"/>
          <w:szCs w:val="32"/>
          <w:highlight w:val="none"/>
        </w:rPr>
        <w:t>其他政府性基金专项债务对应项目专项收入</w:t>
      </w:r>
      <w:r>
        <w:rPr>
          <w:rFonts w:hint="default" w:ascii="Times New Roman" w:hAnsi="Times New Roman" w:eastAsia="方正仿宋_GBK" w:cs="Times New Roman"/>
          <w:sz w:val="32"/>
          <w:szCs w:val="32"/>
          <w:highlight w:val="none"/>
          <w:lang w:eastAsia="zh-CN"/>
        </w:rPr>
        <w:t>（专项债券收益）</w:t>
      </w:r>
      <w:r>
        <w:rPr>
          <w:rFonts w:hint="default" w:ascii="Times New Roman" w:hAnsi="Times New Roman" w:eastAsia="方正仿宋_GBK" w:cs="Times New Roman"/>
          <w:sz w:val="32"/>
          <w:szCs w:val="32"/>
          <w:highlight w:val="none"/>
          <w:lang w:val="en-US" w:eastAsia="zh-CN"/>
        </w:rPr>
        <w:t>6193万元；</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（3）</w:t>
      </w:r>
      <w:r>
        <w:rPr>
          <w:rFonts w:hint="default" w:ascii="Times New Roman" w:hAnsi="Times New Roman" w:eastAsia="方正仿宋_GBK" w:cs="Times New Roman"/>
          <w:sz w:val="32"/>
          <w:szCs w:val="32"/>
          <w:highlight w:val="none"/>
          <w:lang w:eastAsia="zh-CN"/>
        </w:rPr>
        <w:t>上年结余</w:t>
      </w:r>
      <w:r>
        <w:rPr>
          <w:rFonts w:hint="default" w:ascii="Times New Roman" w:hAnsi="Times New Roman" w:eastAsia="方正仿宋_GBK" w:cs="Times New Roman"/>
          <w:sz w:val="32"/>
          <w:szCs w:val="32"/>
          <w:highlight w:val="none"/>
          <w:lang w:val="en-US" w:eastAsia="zh-CN"/>
        </w:rPr>
        <w:t>21432万元；</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（4）</w:t>
      </w:r>
      <w:r>
        <w:rPr>
          <w:rFonts w:hint="default" w:ascii="Times New Roman" w:hAnsi="Times New Roman" w:eastAsia="方正仿宋_GBK" w:cs="Times New Roman"/>
          <w:sz w:val="32"/>
          <w:szCs w:val="32"/>
          <w:highlight w:val="none"/>
          <w:lang w:eastAsia="zh-CN"/>
        </w:rPr>
        <w:t>提前预告知专项收入</w:t>
      </w:r>
      <w:r>
        <w:rPr>
          <w:rFonts w:hint="default" w:ascii="Times New Roman" w:hAnsi="Times New Roman" w:eastAsia="方正仿宋_GBK" w:cs="Times New Roman"/>
          <w:sz w:val="32"/>
          <w:szCs w:val="32"/>
          <w:highlight w:val="none"/>
          <w:lang w:val="en-US" w:eastAsia="zh-CN"/>
        </w:rPr>
        <w:t>1148万元。</w:t>
      </w:r>
    </w:p>
    <w:p>
      <w:pPr>
        <w:keepNext w:val="0"/>
        <w:keepLines w:val="0"/>
        <w:pageBreakBefore w:val="0"/>
        <w:widowControl w:val="0"/>
        <w:kinsoku/>
        <w:wordWrap/>
        <w:overflowPunct/>
        <w:topLinePunct w:val="0"/>
        <w:autoSpaceDE/>
        <w:bidi w:val="0"/>
        <w:spacing w:line="620" w:lineRule="exact"/>
        <w:ind w:firstLine="643" w:firstLineChars="200"/>
        <w:textAlignment w:val="auto"/>
        <w:rPr>
          <w:rFonts w:hint="default" w:ascii="Times New Roman" w:hAnsi="Times New Roman" w:eastAsia="方正仿宋_GBK" w:cs="Times New Roman"/>
          <w:b/>
          <w:bCs/>
          <w:sz w:val="32"/>
          <w:szCs w:val="32"/>
          <w:highlight w:val="none"/>
          <w:lang w:val="en-US" w:eastAsia="zh-CN"/>
        </w:rPr>
      </w:pPr>
      <w:r>
        <w:rPr>
          <w:rFonts w:hint="default" w:ascii="Times New Roman" w:hAnsi="Times New Roman" w:eastAsia="方正仿宋_GBK" w:cs="Times New Roman"/>
          <w:b/>
          <w:bCs/>
          <w:sz w:val="32"/>
          <w:szCs w:val="32"/>
          <w:highlight w:val="none"/>
          <w:lang w:val="en-US" w:eastAsia="zh-CN"/>
        </w:rPr>
        <w:t>2.全年政府性基金预算支出71773万元</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highlight w:val="none"/>
          <w:lang w:eastAsia="zh-CN"/>
        </w:rPr>
      </w:pPr>
      <w:r>
        <w:rPr>
          <w:rFonts w:hint="default" w:ascii="Times New Roman" w:hAnsi="Times New Roman" w:eastAsia="方正仿宋_GBK" w:cs="Times New Roman"/>
          <w:sz w:val="32"/>
          <w:szCs w:val="32"/>
          <w:highlight w:val="none"/>
          <w:lang w:val="en-US" w:eastAsia="zh-CN"/>
        </w:rPr>
        <w:t>（1）</w:t>
      </w:r>
      <w:r>
        <w:rPr>
          <w:rFonts w:hint="default" w:ascii="Times New Roman" w:hAnsi="Times New Roman" w:eastAsia="方正仿宋_GBK" w:cs="Times New Roman"/>
          <w:sz w:val="32"/>
          <w:szCs w:val="32"/>
          <w:highlight w:val="none"/>
        </w:rPr>
        <w:t>安排征地和拆迁补偿基金预算支出</w:t>
      </w:r>
      <w:r>
        <w:rPr>
          <w:rFonts w:hint="default" w:ascii="Times New Roman" w:hAnsi="Times New Roman" w:eastAsia="方正仿宋_GBK" w:cs="Times New Roman"/>
          <w:sz w:val="32"/>
          <w:szCs w:val="32"/>
          <w:highlight w:val="none"/>
          <w:lang w:val="en-US" w:eastAsia="zh-CN"/>
        </w:rPr>
        <w:t>1167</w:t>
      </w:r>
      <w:r>
        <w:rPr>
          <w:rFonts w:hint="default" w:ascii="Times New Roman" w:hAnsi="Times New Roman" w:eastAsia="方正仿宋_GBK" w:cs="Times New Roman"/>
          <w:sz w:val="32"/>
          <w:szCs w:val="32"/>
          <w:highlight w:val="none"/>
        </w:rPr>
        <w:t>万元</w:t>
      </w:r>
      <w:r>
        <w:rPr>
          <w:rFonts w:hint="default" w:ascii="Times New Roman" w:hAnsi="Times New Roman" w:eastAsia="方正仿宋_GBK" w:cs="Times New Roman"/>
          <w:sz w:val="32"/>
          <w:szCs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highlight w:val="none"/>
          <w:lang w:eastAsia="zh-CN"/>
        </w:rPr>
      </w:pPr>
      <w:r>
        <w:rPr>
          <w:rFonts w:hint="default" w:ascii="Times New Roman" w:hAnsi="Times New Roman" w:eastAsia="方正仿宋_GBK" w:cs="Times New Roman"/>
          <w:sz w:val="32"/>
          <w:szCs w:val="32"/>
          <w:highlight w:val="none"/>
          <w:lang w:val="en-US" w:eastAsia="zh-CN"/>
        </w:rPr>
        <w:t>（2）</w:t>
      </w:r>
      <w:r>
        <w:rPr>
          <w:rFonts w:hint="default" w:ascii="Times New Roman" w:hAnsi="Times New Roman" w:eastAsia="方正仿宋_GBK" w:cs="Times New Roman"/>
          <w:sz w:val="32"/>
          <w:szCs w:val="32"/>
          <w:highlight w:val="none"/>
        </w:rPr>
        <w:t>安排地方政府专项债务付息</w:t>
      </w:r>
      <w:r>
        <w:rPr>
          <w:rFonts w:hint="default" w:ascii="Times New Roman" w:hAnsi="Times New Roman" w:eastAsia="方正仿宋_GBK" w:cs="Times New Roman"/>
          <w:sz w:val="32"/>
          <w:szCs w:val="32"/>
          <w:highlight w:val="none"/>
          <w:lang w:eastAsia="zh-CN"/>
        </w:rPr>
        <w:t>及发行费</w:t>
      </w:r>
      <w:r>
        <w:rPr>
          <w:rFonts w:hint="default" w:ascii="Times New Roman" w:hAnsi="Times New Roman" w:eastAsia="方正仿宋_GBK" w:cs="Times New Roman"/>
          <w:sz w:val="32"/>
          <w:szCs w:val="32"/>
          <w:highlight w:val="none"/>
        </w:rPr>
        <w:t>支出</w:t>
      </w:r>
      <w:r>
        <w:rPr>
          <w:rFonts w:hint="default" w:ascii="Times New Roman" w:hAnsi="Times New Roman" w:eastAsia="方正仿宋_GBK" w:cs="Times New Roman"/>
          <w:sz w:val="32"/>
          <w:szCs w:val="32"/>
          <w:highlight w:val="none"/>
          <w:lang w:val="en-US" w:eastAsia="zh-CN"/>
        </w:rPr>
        <w:t>6786</w:t>
      </w:r>
      <w:r>
        <w:rPr>
          <w:rFonts w:hint="default" w:ascii="Times New Roman" w:hAnsi="Times New Roman" w:eastAsia="方正仿宋_GBK" w:cs="Times New Roman"/>
          <w:sz w:val="32"/>
          <w:szCs w:val="32"/>
          <w:highlight w:val="none"/>
        </w:rPr>
        <w:t>万元</w:t>
      </w:r>
      <w:r>
        <w:rPr>
          <w:rFonts w:hint="default" w:ascii="Times New Roman" w:hAnsi="Times New Roman" w:eastAsia="方正仿宋_GBK" w:cs="Times New Roman"/>
          <w:sz w:val="32"/>
          <w:szCs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val="en-US" w:eastAsia="zh-CN"/>
        </w:rPr>
        <w:t>（3）</w:t>
      </w:r>
      <w:r>
        <w:rPr>
          <w:rFonts w:hint="default" w:ascii="Times New Roman" w:hAnsi="Times New Roman" w:eastAsia="方正仿宋_GBK" w:cs="Times New Roman"/>
          <w:sz w:val="32"/>
          <w:szCs w:val="32"/>
          <w:highlight w:val="none"/>
        </w:rPr>
        <w:t>国有土地使用权出让收入安排</w:t>
      </w:r>
      <w:r>
        <w:rPr>
          <w:rFonts w:hint="default" w:ascii="Times New Roman" w:hAnsi="Times New Roman" w:eastAsia="方正仿宋_GBK" w:cs="Times New Roman"/>
          <w:sz w:val="32"/>
          <w:szCs w:val="32"/>
          <w:highlight w:val="none"/>
          <w:lang w:val="en-US" w:eastAsia="zh-CN"/>
        </w:rPr>
        <w:t>38240</w:t>
      </w:r>
      <w:r>
        <w:rPr>
          <w:rFonts w:hint="default" w:ascii="Times New Roman" w:hAnsi="Times New Roman" w:eastAsia="方正仿宋_GBK" w:cs="Times New Roman"/>
          <w:sz w:val="32"/>
          <w:szCs w:val="32"/>
          <w:highlight w:val="none"/>
        </w:rPr>
        <w:t>万元调入公共财政预算；</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（4）</w:t>
      </w:r>
      <w:r>
        <w:rPr>
          <w:rFonts w:hint="default" w:ascii="Times New Roman" w:hAnsi="Times New Roman" w:eastAsia="方正仿宋_GBK" w:cs="Times New Roman"/>
          <w:sz w:val="32"/>
          <w:szCs w:val="32"/>
          <w:highlight w:val="none"/>
          <w:lang w:eastAsia="zh-CN"/>
        </w:rPr>
        <w:t>结转支出</w:t>
      </w:r>
      <w:r>
        <w:rPr>
          <w:rFonts w:hint="default" w:ascii="Times New Roman" w:hAnsi="Times New Roman" w:eastAsia="方正仿宋_GBK" w:cs="Times New Roman"/>
          <w:sz w:val="32"/>
          <w:szCs w:val="32"/>
          <w:highlight w:val="none"/>
          <w:lang w:val="en-US" w:eastAsia="zh-CN"/>
        </w:rPr>
        <w:t>21432万元；</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（5）</w:t>
      </w:r>
      <w:r>
        <w:rPr>
          <w:rFonts w:hint="default" w:ascii="Times New Roman" w:hAnsi="Times New Roman" w:eastAsia="方正仿宋_GBK" w:cs="Times New Roman"/>
          <w:sz w:val="32"/>
          <w:szCs w:val="32"/>
          <w:highlight w:val="none"/>
          <w:lang w:eastAsia="zh-CN"/>
        </w:rPr>
        <w:t>提前预告知专项支出</w:t>
      </w:r>
      <w:r>
        <w:rPr>
          <w:rFonts w:hint="default" w:ascii="Times New Roman" w:hAnsi="Times New Roman" w:eastAsia="方正仿宋_GBK" w:cs="Times New Roman"/>
          <w:sz w:val="32"/>
          <w:szCs w:val="32"/>
          <w:highlight w:val="none"/>
          <w:lang w:val="en-US" w:eastAsia="zh-CN"/>
        </w:rPr>
        <w:t>1148万元；</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（6）政府性基金项目预留3000万元。</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3"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b/>
          <w:bCs/>
          <w:sz w:val="32"/>
          <w:szCs w:val="32"/>
          <w:highlight w:val="none"/>
        </w:rPr>
        <w:t>按照收支平衡原则，</w:t>
      </w:r>
      <w:r>
        <w:rPr>
          <w:rFonts w:hint="default" w:ascii="Times New Roman" w:hAnsi="Times New Roman" w:eastAsia="方正仿宋_GBK" w:cs="Times New Roman"/>
          <w:b/>
          <w:bCs/>
          <w:sz w:val="32"/>
          <w:szCs w:val="32"/>
          <w:highlight w:val="none"/>
          <w:lang w:eastAsia="zh-CN"/>
        </w:rPr>
        <w:t>2025年政府性</w:t>
      </w:r>
      <w:r>
        <w:rPr>
          <w:rFonts w:hint="default" w:ascii="Times New Roman" w:hAnsi="Times New Roman" w:eastAsia="方正仿宋_GBK" w:cs="Times New Roman"/>
          <w:b/>
          <w:bCs/>
          <w:sz w:val="32"/>
          <w:szCs w:val="32"/>
          <w:highlight w:val="none"/>
        </w:rPr>
        <w:t>基金收支相抵预算平衡。</w:t>
      </w:r>
    </w:p>
    <w:p>
      <w:pPr>
        <w:keepNext w:val="0"/>
        <w:keepLines w:val="0"/>
        <w:pageBreakBefore w:val="0"/>
        <w:widowControl w:val="0"/>
        <w:kinsoku/>
        <w:wordWrap/>
        <w:overflowPunct/>
        <w:topLinePunct w:val="0"/>
        <w:autoSpaceDE/>
        <w:bidi w:val="0"/>
        <w:spacing w:line="620" w:lineRule="exact"/>
        <w:ind w:firstLine="616" w:firstLineChars="200"/>
        <w:textAlignment w:val="auto"/>
        <w:rPr>
          <w:rFonts w:hint="default" w:ascii="Times New Roman" w:hAnsi="Times New Roman" w:eastAsia="方正楷体_GBK" w:cs="Times New Roman"/>
          <w:b/>
          <w:spacing w:val="-6"/>
          <w:sz w:val="32"/>
          <w:szCs w:val="32"/>
          <w:highlight w:val="none"/>
          <w:lang w:val="en-US" w:eastAsia="zh-CN"/>
        </w:rPr>
      </w:pPr>
      <w:bookmarkStart w:id="2" w:name="OLE_LINK4"/>
      <w:bookmarkStart w:id="3" w:name="OLE_LINK5"/>
      <w:r>
        <w:rPr>
          <w:rFonts w:hint="default" w:ascii="Times New Roman" w:hAnsi="Times New Roman" w:eastAsia="方正楷体_GBK" w:cs="Times New Roman"/>
          <w:b/>
          <w:spacing w:val="-6"/>
          <w:sz w:val="32"/>
          <w:szCs w:val="32"/>
          <w:highlight w:val="none"/>
          <w:lang w:val="en-US" w:eastAsia="zh-CN"/>
        </w:rPr>
        <w:t>（四）2025年国有资本经营预算</w:t>
      </w:r>
    </w:p>
    <w:p>
      <w:pPr>
        <w:keepNext w:val="0"/>
        <w:keepLines w:val="0"/>
        <w:pageBreakBefore w:val="0"/>
        <w:widowControl w:val="0"/>
        <w:kinsoku/>
        <w:wordWrap/>
        <w:overflowPunct/>
        <w:topLinePunct w:val="0"/>
        <w:autoSpaceDE/>
        <w:bidi w:val="0"/>
        <w:spacing w:line="620" w:lineRule="exact"/>
        <w:ind w:firstLine="643" w:firstLineChars="200"/>
        <w:textAlignment w:val="auto"/>
        <w:rPr>
          <w:rFonts w:hint="default" w:ascii="Times New Roman" w:hAnsi="Times New Roman" w:eastAsia="方正仿宋_GBK" w:cs="Times New Roman"/>
          <w:b/>
          <w:bCs/>
          <w:sz w:val="32"/>
          <w:szCs w:val="32"/>
          <w:highlight w:val="none"/>
          <w:lang w:val="en-US" w:eastAsia="zh-CN"/>
        </w:rPr>
      </w:pPr>
      <w:r>
        <w:rPr>
          <w:rFonts w:hint="default" w:ascii="Times New Roman" w:hAnsi="Times New Roman" w:eastAsia="方正仿宋_GBK" w:cs="Times New Roman"/>
          <w:b/>
          <w:bCs/>
          <w:sz w:val="32"/>
          <w:szCs w:val="32"/>
          <w:highlight w:val="none"/>
          <w:lang w:val="en-US" w:eastAsia="zh-CN"/>
        </w:rPr>
        <w:t>1.预计营收情况</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根据2024年国企10月份资产负债表，预计2025年盈利的国有企业利润为5154万元，即：泽普县汇泽国有资本运营有限公司预计实现利润2万元、泽普嘉泽城市运营有限公司预计实现利润600万元、泽普县盛泽工业园区管理有限公司预计实现利润178万元，泽普县润泽农业发展投资有限公司预计实现利润370万元、泽普县景泽文旅投资发展有限公司预计实现利润100万元、泽普县创泽城市建设投资有限公司预计实现利润3904万元。</w:t>
      </w:r>
    </w:p>
    <w:p>
      <w:pPr>
        <w:keepNext w:val="0"/>
        <w:keepLines w:val="0"/>
        <w:pageBreakBefore w:val="0"/>
        <w:widowControl w:val="0"/>
        <w:kinsoku/>
        <w:wordWrap/>
        <w:overflowPunct/>
        <w:topLinePunct w:val="0"/>
        <w:autoSpaceDE/>
        <w:bidi w:val="0"/>
        <w:spacing w:line="620" w:lineRule="exact"/>
        <w:ind w:firstLine="643" w:firstLineChars="200"/>
        <w:textAlignment w:val="auto"/>
        <w:rPr>
          <w:rFonts w:hint="default" w:ascii="Times New Roman" w:hAnsi="Times New Roman" w:eastAsia="方正仿宋_GBK" w:cs="Times New Roman"/>
          <w:b/>
          <w:bCs/>
          <w:sz w:val="32"/>
          <w:szCs w:val="32"/>
          <w:highlight w:val="none"/>
          <w:lang w:val="en-US" w:eastAsia="zh-CN"/>
        </w:rPr>
      </w:pPr>
      <w:r>
        <w:rPr>
          <w:rFonts w:hint="default" w:ascii="Times New Roman" w:hAnsi="Times New Roman" w:eastAsia="方正仿宋_GBK" w:cs="Times New Roman"/>
          <w:b/>
          <w:bCs/>
          <w:sz w:val="32"/>
          <w:szCs w:val="32"/>
          <w:highlight w:val="none"/>
          <w:lang w:val="en-US" w:eastAsia="zh-CN"/>
        </w:rPr>
        <w:t>2.预计2025年国有资本经营预算收入</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按2024年企业利润的30%编制2025年国有资本经营预算收入，预计上缴国有资本经营预算收入1013万元，即：泽普县汇泽国有资本运营有限公司预计上缴0.5万元、泽普嘉泽城市运营有限公司预计上缴150万元、泽普县盛泽工业园区管理有限公司预计上缴45万元，泽普县润泽农业发展投资有限公司预计上缴92.5万元、泽普县景泽文旅投资发展有限公司预计上缴25万元、泽普县创泽城市建设投资有限公司预计上缴700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cs="Times New Roman"/>
          <w:szCs w:val="20"/>
          <w:lang w:val="en-US" w:eastAsia="zh-CN"/>
        </w:rPr>
      </w:pPr>
      <w:r>
        <w:rPr>
          <w:rFonts w:hint="default" w:ascii="Times New Roman" w:hAnsi="Times New Roman" w:eastAsia="方正仿宋_GBK" w:cs="Times New Roman"/>
          <w:sz w:val="32"/>
          <w:szCs w:val="32"/>
          <w:highlight w:val="none"/>
          <w:lang w:val="en-US" w:eastAsia="zh-CN"/>
        </w:rPr>
        <w:t>上级专项资金（2025年国有企业退休人员社会化管理补助资金）5万元。</w:t>
      </w:r>
    </w:p>
    <w:p>
      <w:pPr>
        <w:keepNext w:val="0"/>
        <w:keepLines w:val="0"/>
        <w:pageBreakBefore w:val="0"/>
        <w:widowControl w:val="0"/>
        <w:kinsoku/>
        <w:wordWrap/>
        <w:overflowPunct/>
        <w:topLinePunct w:val="0"/>
        <w:autoSpaceDE/>
        <w:bidi w:val="0"/>
        <w:spacing w:line="620" w:lineRule="exact"/>
        <w:ind w:firstLine="643" w:firstLineChars="200"/>
        <w:textAlignment w:val="auto"/>
        <w:rPr>
          <w:rFonts w:hint="default" w:ascii="Times New Roman" w:hAnsi="Times New Roman" w:eastAsia="方正仿宋_GBK" w:cs="Times New Roman"/>
          <w:b/>
          <w:bCs/>
          <w:sz w:val="32"/>
          <w:szCs w:val="32"/>
          <w:highlight w:val="none"/>
          <w:lang w:val="en-US" w:eastAsia="zh-CN"/>
        </w:rPr>
      </w:pPr>
      <w:r>
        <w:rPr>
          <w:rFonts w:hint="default" w:ascii="Times New Roman" w:hAnsi="Times New Roman" w:eastAsia="方正仿宋_GBK" w:cs="Times New Roman"/>
          <w:b/>
          <w:bCs/>
          <w:sz w:val="32"/>
          <w:szCs w:val="32"/>
          <w:highlight w:val="none"/>
          <w:lang w:val="en-US" w:eastAsia="zh-CN"/>
        </w:rPr>
        <w:t>3.2025年国有资本经营预算支出安排情况</w:t>
      </w:r>
    </w:p>
    <w:bookmarkEnd w:id="2"/>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根据要求，2025年国有资本经营预算收入1018万元，调入一般公共预算513万元，计划对上缴收入剩余部分500万元用于企业发展，上级专项5万元用于国有企业退休人员社会化管理，收支平衡。</w:t>
      </w:r>
    </w:p>
    <w:bookmarkEnd w:id="3"/>
    <w:p>
      <w:pPr>
        <w:keepNext w:val="0"/>
        <w:keepLines w:val="0"/>
        <w:pageBreakBefore w:val="0"/>
        <w:widowControl w:val="0"/>
        <w:kinsoku/>
        <w:wordWrap/>
        <w:overflowPunct/>
        <w:topLinePunct w:val="0"/>
        <w:autoSpaceDE/>
        <w:bidi w:val="0"/>
        <w:spacing w:line="620" w:lineRule="exact"/>
        <w:ind w:firstLine="616" w:firstLineChars="200"/>
        <w:textAlignment w:val="auto"/>
        <w:rPr>
          <w:rFonts w:hint="default" w:ascii="Times New Roman" w:hAnsi="Times New Roman" w:eastAsia="方正仿宋_GBK" w:cs="Times New Roman"/>
          <w:b/>
          <w:spacing w:val="-6"/>
          <w:sz w:val="32"/>
          <w:szCs w:val="32"/>
          <w:highlight w:val="none"/>
          <w:lang w:val="en-US" w:eastAsia="zh-CN"/>
        </w:rPr>
      </w:pPr>
      <w:r>
        <w:rPr>
          <w:rFonts w:hint="default" w:ascii="Times New Roman" w:hAnsi="Times New Roman" w:eastAsia="方正楷体_GBK" w:cs="Times New Roman"/>
          <w:b/>
          <w:spacing w:val="-6"/>
          <w:sz w:val="32"/>
          <w:szCs w:val="32"/>
          <w:highlight w:val="none"/>
          <w:lang w:val="en-US" w:eastAsia="zh-CN"/>
        </w:rPr>
        <w:t>（五）社保基金预算</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color w:val="auto"/>
          <w:kern w:val="0"/>
          <w:sz w:val="32"/>
          <w:szCs w:val="32"/>
          <w:highlight w:val="none"/>
          <w:lang w:eastAsia="zh-CN"/>
        </w:rPr>
      </w:pPr>
      <w:r>
        <w:rPr>
          <w:rFonts w:hint="default" w:ascii="Times New Roman" w:hAnsi="Times New Roman" w:eastAsia="方正仿宋_GBK" w:cs="Times New Roman"/>
          <w:color w:val="auto"/>
          <w:kern w:val="0"/>
          <w:sz w:val="32"/>
          <w:szCs w:val="32"/>
          <w:highlight w:val="none"/>
          <w:lang w:eastAsia="zh-CN"/>
        </w:rPr>
        <w:t>2025年，泽普县社会保险基金预算总收入7509.32万元，预算总支出4478.45万元，预算本年收支结余3030.87万元，预算年末滚存结余26337.72万元。分项情况如下：</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color w:val="auto"/>
          <w:kern w:val="0"/>
          <w:sz w:val="32"/>
          <w:szCs w:val="32"/>
          <w:highlight w:val="none"/>
          <w:lang w:eastAsia="zh-CN"/>
        </w:rPr>
      </w:pPr>
      <w:r>
        <w:rPr>
          <w:rFonts w:hint="default" w:ascii="Times New Roman" w:hAnsi="Times New Roman" w:eastAsia="方正仿宋_GBK" w:cs="Times New Roman"/>
          <w:color w:val="auto"/>
          <w:kern w:val="0"/>
          <w:sz w:val="32"/>
          <w:szCs w:val="32"/>
          <w:highlight w:val="none"/>
          <w:lang w:eastAsia="zh-CN"/>
        </w:rPr>
        <w:t>本年预算收入7509.32万元，其中：基本养老保险费收入2408.78万元，财政补贴收入282.29万元。本年预算支出4478.45万元，其中，基本养老金支出4448.7万元。预算本年收支结余3030.87万元，预算年末滚存结余26337.72万元。</w:t>
      </w:r>
    </w:p>
    <w:p>
      <w:pPr>
        <w:pStyle w:val="7"/>
        <w:rPr>
          <w:rFonts w:hint="default" w:ascii="Times New Roman" w:hAnsi="Times New Roman" w:eastAsia="方正仿宋_GBK" w:cs="Times New Roman"/>
          <w:color w:val="auto"/>
          <w:kern w:val="0"/>
          <w:sz w:val="32"/>
          <w:szCs w:val="32"/>
          <w:highlight w:val="none"/>
          <w:lang w:eastAsia="zh-CN"/>
        </w:rPr>
      </w:pPr>
    </w:p>
    <w:p>
      <w:pPr>
        <w:pStyle w:val="7"/>
        <w:rPr>
          <w:rFonts w:hint="default" w:ascii="Times New Roman" w:hAnsi="Times New Roman" w:eastAsia="方正仿宋_GBK" w:cs="Times New Roman"/>
          <w:color w:val="auto"/>
          <w:kern w:val="0"/>
          <w:sz w:val="32"/>
          <w:szCs w:val="32"/>
          <w:highlight w:val="none"/>
          <w:lang w:eastAsia="zh-CN"/>
        </w:rPr>
      </w:pPr>
    </w:p>
    <w:p>
      <w:pPr>
        <w:pStyle w:val="7"/>
        <w:rPr>
          <w:rFonts w:hint="default" w:ascii="Times New Roman" w:hAnsi="Times New Roman" w:eastAsia="方正仿宋_GBK" w:cs="Times New Roman"/>
          <w:color w:val="auto"/>
          <w:kern w:val="0"/>
          <w:sz w:val="32"/>
          <w:szCs w:val="32"/>
          <w:highlight w:val="none"/>
          <w:lang w:eastAsia="zh-CN"/>
        </w:rPr>
      </w:pPr>
    </w:p>
    <w:p>
      <w:pPr>
        <w:pStyle w:val="7"/>
        <w:rPr>
          <w:rFonts w:hint="default" w:ascii="Times New Roman" w:hAnsi="Times New Roman" w:eastAsia="方正仿宋_GBK" w:cs="Times New Roman"/>
          <w:color w:val="auto"/>
          <w:kern w:val="0"/>
          <w:sz w:val="32"/>
          <w:szCs w:val="32"/>
          <w:highlight w:val="none"/>
          <w:lang w:eastAsia="zh-CN"/>
        </w:rPr>
      </w:pPr>
    </w:p>
    <w:p>
      <w:pPr>
        <w:pStyle w:val="7"/>
        <w:rPr>
          <w:rFonts w:hint="default" w:ascii="Times New Roman" w:hAnsi="Times New Roman" w:eastAsia="方正仿宋_GBK" w:cs="Times New Roman"/>
          <w:color w:val="auto"/>
          <w:kern w:val="0"/>
          <w:sz w:val="32"/>
          <w:szCs w:val="32"/>
          <w:highlight w:val="none"/>
          <w:lang w:eastAsia="zh-CN"/>
        </w:rPr>
      </w:pPr>
    </w:p>
    <w:p>
      <w:pPr>
        <w:pStyle w:val="7"/>
        <w:rPr>
          <w:rFonts w:hint="default" w:ascii="Times New Roman" w:hAnsi="Times New Roman" w:eastAsia="方正仿宋_GBK" w:cs="Times New Roman"/>
          <w:color w:val="auto"/>
          <w:kern w:val="0"/>
          <w:sz w:val="32"/>
          <w:szCs w:val="32"/>
          <w:highlight w:val="none"/>
          <w:lang w:eastAsia="zh-CN"/>
        </w:rPr>
      </w:pPr>
    </w:p>
    <w:p>
      <w:pPr>
        <w:pStyle w:val="7"/>
        <w:rPr>
          <w:rFonts w:hint="default" w:ascii="Times New Roman" w:hAnsi="Times New Roman" w:eastAsia="方正仿宋_GBK" w:cs="Times New Roman"/>
          <w:color w:val="auto"/>
          <w:kern w:val="0"/>
          <w:sz w:val="32"/>
          <w:szCs w:val="32"/>
          <w:highlight w:val="none"/>
          <w:lang w:eastAsia="zh-CN"/>
        </w:rPr>
      </w:pPr>
    </w:p>
    <w:p>
      <w:pPr>
        <w:pStyle w:val="7"/>
        <w:rPr>
          <w:rFonts w:hint="default" w:ascii="Times New Roman" w:hAnsi="Times New Roman" w:eastAsia="方正仿宋_GBK" w:cs="Times New Roman"/>
          <w:color w:val="auto"/>
          <w:kern w:val="0"/>
          <w:sz w:val="32"/>
          <w:szCs w:val="32"/>
          <w:highlight w:val="none"/>
          <w:lang w:eastAsia="zh-CN"/>
        </w:rPr>
      </w:pPr>
    </w:p>
    <w:p>
      <w:pPr>
        <w:widowControl/>
        <w:numPr>
          <w:ilvl w:val="0"/>
          <w:numId w:val="1"/>
        </w:numPr>
        <w:jc w:val="center"/>
        <w:outlineLvl w:val="1"/>
        <w:rPr>
          <w:rFonts w:hint="default" w:ascii="Times New Roman" w:hAnsi="Times New Roman" w:eastAsia="方正黑体_GBK" w:cs="Times New Roman"/>
          <w:kern w:val="0"/>
          <w:sz w:val="36"/>
          <w:szCs w:val="36"/>
          <w:highlight w:val="none"/>
          <w:lang w:val="en-US" w:eastAsia="zh-Hans"/>
        </w:rPr>
      </w:pPr>
      <w:r>
        <w:rPr>
          <w:rFonts w:hint="default" w:ascii="Times New Roman" w:hAnsi="Times New Roman" w:eastAsia="方正黑体_GBK" w:cs="Times New Roman"/>
          <w:kern w:val="0"/>
          <w:sz w:val="32"/>
          <w:szCs w:val="32"/>
          <w:highlight w:val="none"/>
          <w:lang w:val="en-US" w:eastAsia="zh-Hans"/>
        </w:rPr>
        <w:t xml:space="preserve"> </w:t>
      </w:r>
      <w:r>
        <w:rPr>
          <w:rFonts w:hint="default" w:ascii="Times New Roman" w:hAnsi="Times New Roman" w:eastAsia="方正黑体_GBK" w:cs="Times New Roman"/>
          <w:kern w:val="0"/>
          <w:sz w:val="36"/>
          <w:szCs w:val="36"/>
          <w:highlight w:val="none"/>
          <w:lang w:val="en-US" w:eastAsia="zh-Hans"/>
        </w:rPr>
        <w:t>“四本”预算公开表</w:t>
      </w:r>
    </w:p>
    <w:p>
      <w:pPr>
        <w:rPr>
          <w:rFonts w:hint="default" w:ascii="Times New Roman" w:hAnsi="Times New Roman" w:cs="Times New Roman"/>
          <w:lang w:val="en-US" w:eastAsia="zh-Hans"/>
        </w:rPr>
      </w:pPr>
    </w:p>
    <w:p>
      <w:pPr>
        <w:keepNext w:val="0"/>
        <w:keepLines w:val="0"/>
        <w:pageBreakBefore w:val="0"/>
        <w:widowControl w:val="0"/>
        <w:numPr>
          <w:ilvl w:val="0"/>
          <w:numId w:val="0"/>
        </w:numPr>
        <w:tabs>
          <w:tab w:val="left" w:pos="2148"/>
        </w:tabs>
        <w:kinsoku/>
        <w:wordWrap/>
        <w:overflowPunct/>
        <w:topLinePunct w:val="0"/>
        <w:autoSpaceDE/>
        <w:autoSpaceDN/>
        <w:bidi w:val="0"/>
        <w:adjustRightInd/>
        <w:snapToGrid/>
        <w:spacing w:before="190" w:line="351" w:lineRule="auto"/>
        <w:ind w:right="3265" w:rightChars="0" w:firstLine="643" w:firstLineChars="200"/>
        <w:jc w:val="both"/>
        <w:textAlignment w:val="auto"/>
        <w:rPr>
          <w:rFonts w:hint="default" w:ascii="Times New Roman" w:hAnsi="Times New Roman" w:cs="Times New Roman"/>
          <w:lang w:val="en-US" w:eastAsia="zh-Hans"/>
        </w:rPr>
      </w:pPr>
      <w:r>
        <w:rPr>
          <w:rFonts w:hint="eastAsia" w:eastAsia="楷体_GB2312" w:cs="Times New Roman"/>
          <w:b/>
          <w:bCs w:val="0"/>
          <w:kern w:val="0"/>
          <w:sz w:val="32"/>
          <w:szCs w:val="32"/>
          <w:highlight w:val="none"/>
          <w:lang w:val="en-US" w:eastAsia="zh-CN"/>
        </w:rPr>
        <w:t>一、</w:t>
      </w:r>
      <w:r>
        <w:rPr>
          <w:rFonts w:hint="default" w:ascii="Times New Roman" w:hAnsi="Times New Roman" w:eastAsia="楷体_GB2312" w:cs="Times New Roman"/>
          <w:b/>
          <w:bCs w:val="0"/>
          <w:kern w:val="0"/>
          <w:sz w:val="32"/>
          <w:szCs w:val="32"/>
          <w:highlight w:val="none"/>
          <w:lang w:val="en-US" w:eastAsia="zh-Hans"/>
        </w:rPr>
        <w:t>一般公共预算</w:t>
      </w:r>
      <w:r>
        <w:rPr>
          <w:rFonts w:hint="default" w:ascii="Times New Roman" w:hAnsi="Times New Roman" w:eastAsia="楷体_GB2312" w:cs="Times New Roman"/>
          <w:b/>
          <w:bCs w:val="0"/>
          <w:kern w:val="0"/>
          <w:sz w:val="32"/>
          <w:szCs w:val="32"/>
          <w:highlight w:val="none"/>
          <w:lang w:val="en-US" w:eastAsia="zh-CN"/>
        </w:rPr>
        <w:t>公开</w:t>
      </w:r>
      <w:r>
        <w:rPr>
          <w:rFonts w:hint="default" w:ascii="Times New Roman" w:hAnsi="Times New Roman" w:eastAsia="楷体_GB2312" w:cs="Times New Roman"/>
          <w:b/>
          <w:bCs w:val="0"/>
          <w:kern w:val="0"/>
          <w:sz w:val="32"/>
          <w:szCs w:val="32"/>
          <w:highlight w:val="none"/>
          <w:lang w:val="en-US" w:eastAsia="zh-Hans"/>
        </w:rPr>
        <w:t>表</w:t>
      </w:r>
    </w:p>
    <w:p>
      <w:pPr>
        <w:pStyle w:val="2"/>
        <w:rPr>
          <w:rFonts w:hint="default" w:ascii="Times New Roman" w:hAnsi="Times New Roman" w:cs="Times New Roman"/>
          <w:lang w:val="en-US" w:eastAsia="zh-Hans"/>
        </w:rPr>
      </w:pPr>
    </w:p>
    <w:tbl>
      <w:tblPr>
        <w:tblStyle w:val="8"/>
        <w:tblW w:w="81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3645"/>
        <w:gridCol w:w="1080"/>
        <w:gridCol w:w="1080"/>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表1</w:t>
            </w:r>
          </w:p>
        </w:tc>
        <w:tc>
          <w:tcPr>
            <w:tcW w:w="3645" w:type="dxa"/>
            <w:tcBorders>
              <w:top w:val="nil"/>
              <w:left w:val="nil"/>
              <w:bottom w:val="nil"/>
              <w:right w:val="nil"/>
            </w:tcBorders>
            <w:shd w:val="clear" w:color="auto" w:fill="auto"/>
            <w:vAlign w:val="bottom"/>
          </w:tcPr>
          <w:p>
            <w:pPr>
              <w:jc w:val="both"/>
              <w:rPr>
                <w:rFonts w:hint="default" w:ascii="Times New Roman" w:hAnsi="Times New Roman" w:eastAsia="宋体" w:cs="Times New Roman"/>
                <w:i w:val="0"/>
                <w:iCs w:val="0"/>
                <w:color w:val="000000"/>
                <w:sz w:val="24"/>
                <w:szCs w:val="24"/>
                <w:u w:val="none"/>
              </w:rPr>
            </w:pPr>
          </w:p>
        </w:tc>
        <w:tc>
          <w:tcPr>
            <w:tcW w:w="1080" w:type="dxa"/>
            <w:tcBorders>
              <w:top w:val="nil"/>
              <w:left w:val="nil"/>
              <w:bottom w:val="nil"/>
              <w:right w:val="nil"/>
            </w:tcBorders>
            <w:shd w:val="clear" w:color="auto" w:fill="auto"/>
            <w:vAlign w:val="bottom"/>
          </w:tcPr>
          <w:p>
            <w:pPr>
              <w:jc w:val="center"/>
              <w:rPr>
                <w:rFonts w:hint="default" w:ascii="Times New Roman" w:hAnsi="Times New Roman" w:eastAsia="宋体" w:cs="Times New Roman"/>
                <w:i w:val="0"/>
                <w:iCs w:val="0"/>
                <w:color w:val="000000"/>
                <w:sz w:val="24"/>
                <w:szCs w:val="24"/>
                <w:u w:val="none"/>
              </w:rPr>
            </w:pPr>
          </w:p>
        </w:tc>
        <w:tc>
          <w:tcPr>
            <w:tcW w:w="1080" w:type="dxa"/>
            <w:tcBorders>
              <w:top w:val="nil"/>
              <w:left w:val="nil"/>
              <w:bottom w:val="nil"/>
              <w:right w:val="nil"/>
            </w:tcBorders>
            <w:shd w:val="clear" w:color="auto" w:fill="auto"/>
            <w:vAlign w:val="bottom"/>
          </w:tcPr>
          <w:p>
            <w:pPr>
              <w:jc w:val="center"/>
              <w:rPr>
                <w:rFonts w:hint="default" w:ascii="Times New Roman" w:hAnsi="Times New Roman" w:eastAsia="宋体" w:cs="Times New Roman"/>
                <w:i w:val="0"/>
                <w:iCs w:val="0"/>
                <w:color w:val="000000"/>
                <w:sz w:val="24"/>
                <w:szCs w:val="24"/>
                <w:u w:val="none"/>
              </w:rPr>
            </w:pPr>
          </w:p>
        </w:tc>
        <w:tc>
          <w:tcPr>
            <w:tcW w:w="1275" w:type="dxa"/>
            <w:tcBorders>
              <w:top w:val="nil"/>
              <w:left w:val="nil"/>
              <w:bottom w:val="nil"/>
              <w:right w:val="nil"/>
            </w:tcBorders>
            <w:shd w:val="clear" w:color="auto" w:fill="auto"/>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16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2025年泽普县一般公共预算收入表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nil"/>
              <w:left w:val="nil"/>
              <w:bottom w:val="nil"/>
              <w:right w:val="nil"/>
            </w:tcBorders>
            <w:shd w:val="clear" w:color="auto" w:fill="auto"/>
            <w:vAlign w:val="bottom"/>
          </w:tcPr>
          <w:p>
            <w:pPr>
              <w:jc w:val="center"/>
              <w:rPr>
                <w:rFonts w:hint="default" w:ascii="Times New Roman" w:hAnsi="Times New Roman" w:eastAsia="宋体" w:cs="Times New Roman"/>
                <w:i w:val="0"/>
                <w:iCs w:val="0"/>
                <w:color w:val="000000"/>
                <w:sz w:val="11"/>
                <w:szCs w:val="11"/>
                <w:u w:val="none"/>
              </w:rPr>
            </w:pPr>
          </w:p>
        </w:tc>
        <w:tc>
          <w:tcPr>
            <w:tcW w:w="3645" w:type="dxa"/>
            <w:tcBorders>
              <w:top w:val="nil"/>
              <w:left w:val="nil"/>
              <w:bottom w:val="nil"/>
              <w:right w:val="nil"/>
            </w:tcBorders>
            <w:shd w:val="clear" w:color="auto" w:fill="FFFFFF"/>
            <w:vAlign w:val="bottom"/>
          </w:tcPr>
          <w:p>
            <w:pPr>
              <w:jc w:val="center"/>
              <w:rPr>
                <w:rFonts w:hint="default" w:ascii="Times New Roman" w:hAnsi="Times New Roman" w:eastAsia="宋体" w:cs="Times New Roman"/>
                <w:i w:val="0"/>
                <w:iCs w:val="0"/>
                <w:color w:val="000000"/>
                <w:sz w:val="11"/>
                <w:szCs w:val="11"/>
                <w:u w:val="none"/>
              </w:rPr>
            </w:pPr>
          </w:p>
        </w:tc>
        <w:tc>
          <w:tcPr>
            <w:tcW w:w="1080" w:type="dxa"/>
            <w:tcBorders>
              <w:top w:val="nil"/>
              <w:left w:val="nil"/>
              <w:bottom w:val="nil"/>
              <w:right w:val="nil"/>
            </w:tcBorders>
            <w:shd w:val="clear" w:color="auto" w:fill="FFFFFF"/>
            <w:vAlign w:val="bottom"/>
          </w:tcPr>
          <w:p>
            <w:pPr>
              <w:jc w:val="center"/>
              <w:rPr>
                <w:rFonts w:hint="default" w:ascii="Times New Roman" w:hAnsi="Times New Roman" w:eastAsia="宋体" w:cs="Times New Roman"/>
                <w:i w:val="0"/>
                <w:iCs w:val="0"/>
                <w:color w:val="000000"/>
                <w:sz w:val="11"/>
                <w:szCs w:val="11"/>
                <w:u w:val="none"/>
              </w:rPr>
            </w:pPr>
          </w:p>
        </w:tc>
        <w:tc>
          <w:tcPr>
            <w:tcW w:w="1080" w:type="dxa"/>
            <w:tcBorders>
              <w:top w:val="nil"/>
              <w:left w:val="nil"/>
              <w:bottom w:val="nil"/>
              <w:right w:val="nil"/>
            </w:tcBorders>
            <w:shd w:val="clear" w:color="auto" w:fill="FFFFFF"/>
            <w:vAlign w:val="bottom"/>
          </w:tcPr>
          <w:p>
            <w:pPr>
              <w:jc w:val="center"/>
              <w:rPr>
                <w:rFonts w:hint="default" w:ascii="Times New Roman" w:hAnsi="Times New Roman" w:eastAsia="宋体" w:cs="Times New Roman"/>
                <w:i w:val="0"/>
                <w:iCs w:val="0"/>
                <w:color w:val="000000"/>
                <w:sz w:val="11"/>
                <w:szCs w:val="11"/>
                <w:u w:val="none"/>
              </w:rPr>
            </w:pPr>
          </w:p>
        </w:tc>
        <w:tc>
          <w:tcPr>
            <w:tcW w:w="1275"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108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科目编码</w:t>
            </w:r>
          </w:p>
        </w:tc>
        <w:tc>
          <w:tcPr>
            <w:tcW w:w="3645" w:type="dxa"/>
            <w:tcBorders>
              <w:top w:val="single" w:color="000000" w:sz="8" w:space="0"/>
              <w:left w:val="nil"/>
              <w:bottom w:val="single" w:color="000000" w:sz="8" w:space="0"/>
              <w:right w:val="single" w:color="000000" w:sz="8"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项   目</w:t>
            </w:r>
          </w:p>
        </w:tc>
        <w:tc>
          <w:tcPr>
            <w:tcW w:w="1080" w:type="dxa"/>
            <w:tcBorders>
              <w:top w:val="single" w:color="000000" w:sz="8" w:space="0"/>
              <w:left w:val="nil"/>
              <w:bottom w:val="nil"/>
              <w:right w:val="single" w:color="000000" w:sz="8"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2024年预算数</w:t>
            </w:r>
          </w:p>
        </w:tc>
        <w:tc>
          <w:tcPr>
            <w:tcW w:w="1080" w:type="dxa"/>
            <w:tcBorders>
              <w:top w:val="single" w:color="000000" w:sz="8" w:space="0"/>
              <w:left w:val="nil"/>
              <w:bottom w:val="nil"/>
              <w:right w:val="single" w:color="000000" w:sz="8"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2025年预算数</w:t>
            </w:r>
          </w:p>
        </w:tc>
        <w:tc>
          <w:tcPr>
            <w:tcW w:w="1275" w:type="dxa"/>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比上年预算数增 (减)%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101</w:t>
            </w:r>
          </w:p>
        </w:tc>
        <w:tc>
          <w:tcPr>
            <w:tcW w:w="3645" w:type="dxa"/>
            <w:tcBorders>
              <w:top w:val="single" w:color="000000" w:sz="8" w:space="0"/>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bCs/>
                <w:i w:val="0"/>
                <w:iCs w:val="0"/>
                <w:color w:val="000000"/>
                <w:kern w:val="0"/>
                <w:sz w:val="22"/>
                <w:szCs w:val="22"/>
                <w:u w:val="none"/>
                <w:lang w:val="en-US" w:eastAsia="zh-CN" w:bidi="ar"/>
              </w:rPr>
              <w:t>税收收入</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23236</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17369</w:t>
            </w:r>
          </w:p>
        </w:tc>
        <w:tc>
          <w:tcPr>
            <w:tcW w:w="1275"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10101</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增值税</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7799</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4324</w:t>
            </w:r>
          </w:p>
        </w:tc>
        <w:tc>
          <w:tcPr>
            <w:tcW w:w="1275"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10104</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企业所得税</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1501</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825</w:t>
            </w:r>
          </w:p>
        </w:tc>
        <w:tc>
          <w:tcPr>
            <w:tcW w:w="1275"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10106</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个人所得税</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3729</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1270</w:t>
            </w:r>
          </w:p>
        </w:tc>
        <w:tc>
          <w:tcPr>
            <w:tcW w:w="1275"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10107</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资源税</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42</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38</w:t>
            </w:r>
          </w:p>
        </w:tc>
        <w:tc>
          <w:tcPr>
            <w:tcW w:w="1275"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10109</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城市维护建设税</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778</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825</w:t>
            </w:r>
          </w:p>
        </w:tc>
        <w:tc>
          <w:tcPr>
            <w:tcW w:w="1275"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10110</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房产税</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728</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760</w:t>
            </w:r>
          </w:p>
        </w:tc>
        <w:tc>
          <w:tcPr>
            <w:tcW w:w="1275"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10111</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印花税</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238</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290</w:t>
            </w:r>
          </w:p>
        </w:tc>
        <w:tc>
          <w:tcPr>
            <w:tcW w:w="1275"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nil"/>
              <w:left w:val="single" w:color="000000" w:sz="8" w:space="0"/>
              <w:bottom w:val="single" w:color="auto" w:sz="4"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10112</w:t>
            </w:r>
          </w:p>
        </w:tc>
        <w:tc>
          <w:tcPr>
            <w:tcW w:w="3645" w:type="dxa"/>
            <w:tcBorders>
              <w:top w:val="nil"/>
              <w:left w:val="nil"/>
              <w:bottom w:val="single" w:color="auto" w:sz="4"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城镇土地使用税</w:t>
            </w:r>
          </w:p>
        </w:tc>
        <w:tc>
          <w:tcPr>
            <w:tcW w:w="1080" w:type="dxa"/>
            <w:tcBorders>
              <w:top w:val="nil"/>
              <w:left w:val="nil"/>
              <w:bottom w:val="single" w:color="auto" w:sz="4"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5231</w:t>
            </w:r>
          </w:p>
        </w:tc>
        <w:tc>
          <w:tcPr>
            <w:tcW w:w="1080" w:type="dxa"/>
            <w:tcBorders>
              <w:top w:val="nil"/>
              <w:left w:val="nil"/>
              <w:bottom w:val="single" w:color="auto" w:sz="4"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5387</w:t>
            </w:r>
          </w:p>
        </w:tc>
        <w:tc>
          <w:tcPr>
            <w:tcW w:w="1275" w:type="dxa"/>
            <w:tcBorders>
              <w:top w:val="nil"/>
              <w:left w:val="nil"/>
              <w:bottom w:val="single" w:color="auto" w:sz="4"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single" w:color="auto" w:sz="4" w:space="0"/>
              <w:left w:val="single" w:color="auto" w:sz="4" w:space="0"/>
              <w:bottom w:val="single" w:color="auto" w:sz="4"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10113</w:t>
            </w:r>
          </w:p>
        </w:tc>
        <w:tc>
          <w:tcPr>
            <w:tcW w:w="3645" w:type="dxa"/>
            <w:tcBorders>
              <w:top w:val="single" w:color="auto" w:sz="4" w:space="0"/>
              <w:left w:val="nil"/>
              <w:bottom w:val="single" w:color="auto" w:sz="4"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土地增值税</w:t>
            </w:r>
          </w:p>
        </w:tc>
        <w:tc>
          <w:tcPr>
            <w:tcW w:w="1080" w:type="dxa"/>
            <w:tcBorders>
              <w:top w:val="single" w:color="auto" w:sz="4" w:space="0"/>
              <w:left w:val="nil"/>
              <w:bottom w:val="single" w:color="auto" w:sz="4"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1016</w:t>
            </w:r>
          </w:p>
        </w:tc>
        <w:tc>
          <w:tcPr>
            <w:tcW w:w="1080" w:type="dxa"/>
            <w:tcBorders>
              <w:top w:val="single" w:color="auto" w:sz="4" w:space="0"/>
              <w:left w:val="nil"/>
              <w:bottom w:val="single" w:color="auto" w:sz="4"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1558</w:t>
            </w:r>
          </w:p>
        </w:tc>
        <w:tc>
          <w:tcPr>
            <w:tcW w:w="127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single" w:color="auto" w:sz="4" w:space="0"/>
              <w:left w:val="single" w:color="000000" w:sz="8" w:space="0"/>
              <w:bottom w:val="single" w:color="auto" w:sz="4"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10114</w:t>
            </w:r>
          </w:p>
        </w:tc>
        <w:tc>
          <w:tcPr>
            <w:tcW w:w="3645" w:type="dxa"/>
            <w:tcBorders>
              <w:top w:val="single" w:color="auto" w:sz="4" w:space="0"/>
              <w:left w:val="nil"/>
              <w:bottom w:val="single" w:color="auto" w:sz="4"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车船税</w:t>
            </w:r>
          </w:p>
        </w:tc>
        <w:tc>
          <w:tcPr>
            <w:tcW w:w="1080" w:type="dxa"/>
            <w:tcBorders>
              <w:top w:val="single" w:color="auto" w:sz="4" w:space="0"/>
              <w:left w:val="nil"/>
              <w:bottom w:val="single" w:color="auto" w:sz="4"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1128</w:t>
            </w:r>
          </w:p>
        </w:tc>
        <w:tc>
          <w:tcPr>
            <w:tcW w:w="1080" w:type="dxa"/>
            <w:tcBorders>
              <w:top w:val="single" w:color="auto" w:sz="4" w:space="0"/>
              <w:left w:val="nil"/>
              <w:bottom w:val="single" w:color="auto" w:sz="4"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1276</w:t>
            </w:r>
          </w:p>
        </w:tc>
        <w:tc>
          <w:tcPr>
            <w:tcW w:w="1275" w:type="dxa"/>
            <w:tcBorders>
              <w:top w:val="single" w:color="auto" w:sz="4" w:space="0"/>
              <w:left w:val="nil"/>
              <w:bottom w:val="single" w:color="auto" w:sz="4"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single" w:color="auto" w:sz="4" w:space="0"/>
              <w:left w:val="single" w:color="auto" w:sz="4" w:space="0"/>
              <w:bottom w:val="single" w:color="auto" w:sz="4"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10118</w:t>
            </w:r>
          </w:p>
        </w:tc>
        <w:tc>
          <w:tcPr>
            <w:tcW w:w="3645" w:type="dxa"/>
            <w:tcBorders>
              <w:top w:val="single" w:color="auto" w:sz="4" w:space="0"/>
              <w:left w:val="nil"/>
              <w:bottom w:val="single" w:color="auto" w:sz="4"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耕地占用税</w:t>
            </w:r>
          </w:p>
        </w:tc>
        <w:tc>
          <w:tcPr>
            <w:tcW w:w="1080" w:type="dxa"/>
            <w:tcBorders>
              <w:top w:val="single" w:color="auto" w:sz="4" w:space="0"/>
              <w:left w:val="nil"/>
              <w:bottom w:val="single" w:color="auto" w:sz="4"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442</w:t>
            </w:r>
          </w:p>
        </w:tc>
        <w:tc>
          <w:tcPr>
            <w:tcW w:w="1080" w:type="dxa"/>
            <w:tcBorders>
              <w:top w:val="single" w:color="auto" w:sz="4" w:space="0"/>
              <w:left w:val="nil"/>
              <w:bottom w:val="single" w:color="auto" w:sz="4"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126</w:t>
            </w:r>
          </w:p>
        </w:tc>
        <w:tc>
          <w:tcPr>
            <w:tcW w:w="127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single" w:color="auto" w:sz="4" w:space="0"/>
              <w:left w:val="single" w:color="000000" w:sz="8" w:space="0"/>
              <w:bottom w:val="single" w:color="auto" w:sz="4"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10119</w:t>
            </w:r>
          </w:p>
        </w:tc>
        <w:tc>
          <w:tcPr>
            <w:tcW w:w="3645" w:type="dxa"/>
            <w:tcBorders>
              <w:top w:val="single" w:color="auto" w:sz="4" w:space="0"/>
              <w:left w:val="nil"/>
              <w:bottom w:val="single" w:color="auto" w:sz="4"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契税</w:t>
            </w:r>
          </w:p>
        </w:tc>
        <w:tc>
          <w:tcPr>
            <w:tcW w:w="1080" w:type="dxa"/>
            <w:tcBorders>
              <w:top w:val="single" w:color="auto" w:sz="4" w:space="0"/>
              <w:left w:val="nil"/>
              <w:bottom w:val="single" w:color="auto" w:sz="4"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604</w:t>
            </w:r>
          </w:p>
        </w:tc>
        <w:tc>
          <w:tcPr>
            <w:tcW w:w="1080" w:type="dxa"/>
            <w:tcBorders>
              <w:top w:val="single" w:color="auto" w:sz="4" w:space="0"/>
              <w:left w:val="nil"/>
              <w:bottom w:val="single" w:color="auto" w:sz="4"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690</w:t>
            </w:r>
          </w:p>
        </w:tc>
        <w:tc>
          <w:tcPr>
            <w:tcW w:w="1275" w:type="dxa"/>
            <w:tcBorders>
              <w:top w:val="single" w:color="auto" w:sz="4" w:space="0"/>
              <w:left w:val="nil"/>
              <w:bottom w:val="single" w:color="auto" w:sz="4"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single" w:color="auto" w:sz="4" w:space="0"/>
              <w:left w:val="single" w:color="auto" w:sz="4" w:space="0"/>
              <w:bottom w:val="single" w:color="auto" w:sz="4"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10120</w:t>
            </w:r>
          </w:p>
        </w:tc>
        <w:tc>
          <w:tcPr>
            <w:tcW w:w="3645" w:type="dxa"/>
            <w:tcBorders>
              <w:top w:val="single" w:color="auto" w:sz="4" w:space="0"/>
              <w:left w:val="nil"/>
              <w:bottom w:val="single" w:color="auto" w:sz="4"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烟叶税</w:t>
            </w:r>
          </w:p>
        </w:tc>
        <w:tc>
          <w:tcPr>
            <w:tcW w:w="1080" w:type="dxa"/>
            <w:tcBorders>
              <w:top w:val="single" w:color="auto" w:sz="4" w:space="0"/>
              <w:left w:val="nil"/>
              <w:bottom w:val="single" w:color="auto" w:sz="4" w:space="0"/>
              <w:right w:val="single" w:color="000000" w:sz="8" w:space="0"/>
            </w:tcBorders>
            <w:shd w:val="clear" w:color="auto" w:fill="auto"/>
            <w:noWrap/>
            <w:vAlign w:val="bottom"/>
          </w:tcPr>
          <w:p>
            <w:pPr>
              <w:jc w:val="both"/>
              <w:rPr>
                <w:rFonts w:hint="default" w:ascii="Times New Roman" w:hAnsi="Times New Roman" w:eastAsia="宋体" w:cs="Times New Roman"/>
                <w:i w:val="0"/>
                <w:iCs w:val="0"/>
                <w:color w:val="000000"/>
                <w:kern w:val="0"/>
                <w:sz w:val="22"/>
                <w:szCs w:val="22"/>
                <w:u w:val="none"/>
                <w:lang w:val="en-US" w:eastAsia="zh-CN" w:bidi="ar"/>
              </w:rPr>
            </w:pPr>
          </w:p>
        </w:tc>
        <w:tc>
          <w:tcPr>
            <w:tcW w:w="1080" w:type="dxa"/>
            <w:tcBorders>
              <w:top w:val="single" w:color="auto" w:sz="4" w:space="0"/>
              <w:left w:val="nil"/>
              <w:bottom w:val="single" w:color="auto" w:sz="4" w:space="0"/>
              <w:right w:val="single" w:color="000000" w:sz="8" w:space="0"/>
            </w:tcBorders>
            <w:shd w:val="clear" w:color="auto" w:fill="auto"/>
            <w:noWrap/>
            <w:vAlign w:val="bottom"/>
          </w:tcPr>
          <w:p>
            <w:pPr>
              <w:jc w:val="both"/>
              <w:rPr>
                <w:rFonts w:hint="default" w:ascii="Times New Roman" w:hAnsi="Times New Roman" w:eastAsia="宋体" w:cs="Times New Roman"/>
                <w:i w:val="0"/>
                <w:iCs w:val="0"/>
                <w:color w:val="000000"/>
                <w:kern w:val="0"/>
                <w:sz w:val="22"/>
                <w:szCs w:val="22"/>
                <w:u w:val="none"/>
                <w:lang w:val="en-US" w:eastAsia="zh-CN" w:bidi="ar"/>
              </w:rPr>
            </w:pPr>
          </w:p>
        </w:tc>
        <w:tc>
          <w:tcPr>
            <w:tcW w:w="1275" w:type="dxa"/>
            <w:tcBorders>
              <w:top w:val="single" w:color="auto" w:sz="4" w:space="0"/>
              <w:left w:val="nil"/>
              <w:bottom w:val="single" w:color="auto" w:sz="4" w:space="0"/>
              <w:right w:val="single" w:color="auto" w:sz="4" w:space="0"/>
            </w:tcBorders>
            <w:shd w:val="clear" w:color="auto" w:fill="auto"/>
            <w:noWrap/>
            <w:vAlign w:val="bottom"/>
          </w:tcPr>
          <w:p>
            <w:pPr>
              <w:jc w:val="both"/>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single" w:color="auto" w:sz="4"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10121</w:t>
            </w:r>
          </w:p>
        </w:tc>
        <w:tc>
          <w:tcPr>
            <w:tcW w:w="3645" w:type="dxa"/>
            <w:tcBorders>
              <w:top w:val="single" w:color="auto" w:sz="4" w:space="0"/>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环境保护税</w:t>
            </w:r>
          </w:p>
        </w:tc>
        <w:tc>
          <w:tcPr>
            <w:tcW w:w="1080" w:type="dxa"/>
            <w:tcBorders>
              <w:top w:val="single" w:color="auto" w:sz="4" w:space="0"/>
              <w:left w:val="nil"/>
              <w:bottom w:val="single" w:color="000000" w:sz="8" w:space="0"/>
              <w:right w:val="single" w:color="000000" w:sz="8" w:space="0"/>
            </w:tcBorders>
            <w:shd w:val="clear" w:color="auto" w:fill="auto"/>
            <w:noWrap/>
            <w:vAlign w:val="bottom"/>
          </w:tcPr>
          <w:p>
            <w:pPr>
              <w:jc w:val="both"/>
              <w:rPr>
                <w:rFonts w:hint="default" w:ascii="Times New Roman" w:hAnsi="Times New Roman" w:eastAsia="宋体" w:cs="Times New Roman"/>
                <w:i w:val="0"/>
                <w:iCs w:val="0"/>
                <w:color w:val="000000"/>
                <w:kern w:val="0"/>
                <w:sz w:val="22"/>
                <w:szCs w:val="22"/>
                <w:u w:val="none"/>
                <w:lang w:val="en-US" w:eastAsia="zh-CN" w:bidi="ar"/>
              </w:rPr>
            </w:pPr>
          </w:p>
        </w:tc>
        <w:tc>
          <w:tcPr>
            <w:tcW w:w="1080" w:type="dxa"/>
            <w:tcBorders>
              <w:top w:val="single" w:color="auto" w:sz="4" w:space="0"/>
              <w:left w:val="nil"/>
              <w:bottom w:val="single" w:color="000000" w:sz="8" w:space="0"/>
              <w:right w:val="single" w:color="000000" w:sz="8" w:space="0"/>
            </w:tcBorders>
            <w:shd w:val="clear" w:color="auto" w:fill="auto"/>
            <w:noWrap/>
            <w:vAlign w:val="bottom"/>
          </w:tcPr>
          <w:p>
            <w:pPr>
              <w:jc w:val="both"/>
              <w:rPr>
                <w:rFonts w:hint="default" w:ascii="Times New Roman" w:hAnsi="Times New Roman" w:eastAsia="宋体" w:cs="Times New Roman"/>
                <w:i w:val="0"/>
                <w:iCs w:val="0"/>
                <w:color w:val="000000"/>
                <w:kern w:val="0"/>
                <w:sz w:val="22"/>
                <w:szCs w:val="22"/>
                <w:u w:val="none"/>
                <w:lang w:val="en-US" w:eastAsia="zh-CN" w:bidi="ar"/>
              </w:rPr>
            </w:pPr>
          </w:p>
        </w:tc>
        <w:tc>
          <w:tcPr>
            <w:tcW w:w="1275" w:type="dxa"/>
            <w:tcBorders>
              <w:top w:val="single" w:color="auto" w:sz="4" w:space="0"/>
              <w:left w:val="nil"/>
              <w:bottom w:val="single" w:color="000000" w:sz="8" w:space="0"/>
              <w:right w:val="single" w:color="000000" w:sz="8" w:space="0"/>
            </w:tcBorders>
            <w:shd w:val="clear" w:color="auto" w:fill="auto"/>
            <w:noWrap/>
            <w:vAlign w:val="bottom"/>
          </w:tcPr>
          <w:p>
            <w:pPr>
              <w:jc w:val="both"/>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10199</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其他税收收入</w:t>
            </w:r>
          </w:p>
        </w:tc>
        <w:tc>
          <w:tcPr>
            <w:tcW w:w="1080" w:type="dxa"/>
            <w:tcBorders>
              <w:top w:val="nil"/>
              <w:left w:val="nil"/>
              <w:bottom w:val="single" w:color="000000" w:sz="8" w:space="0"/>
              <w:right w:val="single" w:color="000000" w:sz="8" w:space="0"/>
            </w:tcBorders>
            <w:shd w:val="clear" w:color="auto" w:fill="auto"/>
            <w:noWrap/>
            <w:vAlign w:val="bottom"/>
          </w:tcPr>
          <w:p>
            <w:pPr>
              <w:jc w:val="both"/>
              <w:rPr>
                <w:rFonts w:hint="default" w:ascii="Times New Roman" w:hAnsi="Times New Roman" w:eastAsia="宋体" w:cs="Times New Roman"/>
                <w:i w:val="0"/>
                <w:iCs w:val="0"/>
                <w:color w:val="000000"/>
                <w:kern w:val="0"/>
                <w:sz w:val="22"/>
                <w:szCs w:val="22"/>
                <w:u w:val="none"/>
                <w:lang w:val="en-US" w:eastAsia="zh-CN" w:bidi="ar"/>
              </w:rPr>
            </w:pPr>
          </w:p>
        </w:tc>
        <w:tc>
          <w:tcPr>
            <w:tcW w:w="1080" w:type="dxa"/>
            <w:tcBorders>
              <w:top w:val="nil"/>
              <w:left w:val="nil"/>
              <w:bottom w:val="single" w:color="000000" w:sz="8" w:space="0"/>
              <w:right w:val="single" w:color="000000" w:sz="8" w:space="0"/>
            </w:tcBorders>
            <w:shd w:val="clear" w:color="auto" w:fill="auto"/>
            <w:noWrap/>
            <w:vAlign w:val="bottom"/>
          </w:tcPr>
          <w:p>
            <w:pPr>
              <w:jc w:val="both"/>
              <w:rPr>
                <w:rFonts w:hint="default" w:ascii="Times New Roman" w:hAnsi="Times New Roman" w:eastAsia="宋体" w:cs="Times New Roman"/>
                <w:i w:val="0"/>
                <w:iCs w:val="0"/>
                <w:color w:val="000000"/>
                <w:kern w:val="0"/>
                <w:sz w:val="22"/>
                <w:szCs w:val="22"/>
                <w:u w:val="none"/>
                <w:lang w:val="en-US" w:eastAsia="zh-CN" w:bidi="ar"/>
              </w:rPr>
            </w:pPr>
          </w:p>
        </w:tc>
        <w:tc>
          <w:tcPr>
            <w:tcW w:w="1275" w:type="dxa"/>
            <w:tcBorders>
              <w:top w:val="nil"/>
              <w:left w:val="nil"/>
              <w:bottom w:val="single" w:color="000000" w:sz="8" w:space="0"/>
              <w:right w:val="single" w:color="000000" w:sz="8" w:space="0"/>
            </w:tcBorders>
            <w:shd w:val="clear" w:color="auto" w:fill="auto"/>
            <w:noWrap/>
            <w:vAlign w:val="bottom"/>
          </w:tcPr>
          <w:p>
            <w:pPr>
              <w:jc w:val="both"/>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103</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bCs/>
                <w:i w:val="0"/>
                <w:iCs w:val="0"/>
                <w:color w:val="000000"/>
                <w:kern w:val="0"/>
                <w:sz w:val="22"/>
                <w:szCs w:val="22"/>
                <w:u w:val="none"/>
                <w:lang w:val="en-US" w:eastAsia="zh-CN" w:bidi="ar"/>
              </w:rPr>
              <w:t>非税收入</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11370</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10691</w:t>
            </w:r>
          </w:p>
        </w:tc>
        <w:tc>
          <w:tcPr>
            <w:tcW w:w="1275"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10302</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专项收入</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931</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1084</w:t>
            </w:r>
          </w:p>
        </w:tc>
        <w:tc>
          <w:tcPr>
            <w:tcW w:w="1275"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10304</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行政事业性收费收入</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668</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164</w:t>
            </w:r>
          </w:p>
        </w:tc>
        <w:tc>
          <w:tcPr>
            <w:tcW w:w="1275"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10305</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罚没收入</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1204</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1115</w:t>
            </w:r>
          </w:p>
        </w:tc>
        <w:tc>
          <w:tcPr>
            <w:tcW w:w="1275"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10306</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国有资本经营收入</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1275"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10307</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国有资源（资产）有偿使用收入</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4217</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5791</w:t>
            </w:r>
          </w:p>
        </w:tc>
        <w:tc>
          <w:tcPr>
            <w:tcW w:w="1275"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10308</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捐赠收入</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2995</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1588</w:t>
            </w:r>
          </w:p>
        </w:tc>
        <w:tc>
          <w:tcPr>
            <w:tcW w:w="1275"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10309</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政府住房基金收入</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1350</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902</w:t>
            </w:r>
          </w:p>
        </w:tc>
        <w:tc>
          <w:tcPr>
            <w:tcW w:w="1275"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10399</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其他收入</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47</w:t>
            </w:r>
          </w:p>
        </w:tc>
        <w:tc>
          <w:tcPr>
            <w:tcW w:w="1275"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4725" w:type="dxa"/>
            <w:gridSpan w:val="2"/>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bCs/>
                <w:i w:val="0"/>
                <w:iCs w:val="0"/>
                <w:color w:val="000000"/>
                <w:kern w:val="0"/>
                <w:sz w:val="22"/>
                <w:szCs w:val="22"/>
                <w:u w:val="none"/>
                <w:lang w:val="en-US" w:eastAsia="zh-CN" w:bidi="ar"/>
              </w:rPr>
              <w:t>收入总计</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20"/>
                <w:szCs w:val="20"/>
                <w:u w:val="none"/>
                <w:lang w:val="en-US" w:eastAsia="zh-CN" w:bidi="ar"/>
              </w:rPr>
            </w:pPr>
            <w:r>
              <w:rPr>
                <w:rFonts w:hint="default" w:ascii="Times New Roman" w:hAnsi="Times New Roman" w:eastAsia="宋体" w:cs="Times New Roman"/>
                <w:b/>
                <w:bCs/>
                <w:i w:val="0"/>
                <w:iCs w:val="0"/>
                <w:color w:val="000000"/>
                <w:kern w:val="0"/>
                <w:sz w:val="20"/>
                <w:szCs w:val="20"/>
                <w:u w:val="none"/>
                <w:lang w:val="en-US" w:eastAsia="zh-CN" w:bidi="ar"/>
              </w:rPr>
              <w:t>34606</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20"/>
                <w:szCs w:val="20"/>
                <w:u w:val="none"/>
                <w:lang w:val="en-US" w:eastAsia="zh-CN" w:bidi="ar"/>
              </w:rPr>
            </w:pPr>
            <w:r>
              <w:rPr>
                <w:rFonts w:hint="default" w:ascii="Times New Roman" w:hAnsi="Times New Roman" w:eastAsia="宋体" w:cs="Times New Roman"/>
                <w:b/>
                <w:bCs/>
                <w:i w:val="0"/>
                <w:iCs w:val="0"/>
                <w:color w:val="000000"/>
                <w:kern w:val="0"/>
                <w:sz w:val="20"/>
                <w:szCs w:val="20"/>
                <w:u w:val="none"/>
                <w:lang w:val="en-US" w:eastAsia="zh-CN" w:bidi="ar"/>
              </w:rPr>
              <w:t>28060</w:t>
            </w:r>
          </w:p>
        </w:tc>
        <w:tc>
          <w:tcPr>
            <w:tcW w:w="1275"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20"/>
                <w:szCs w:val="20"/>
                <w:u w:val="none"/>
                <w:lang w:val="en-US" w:eastAsia="zh-CN" w:bidi="ar"/>
              </w:rPr>
            </w:pPr>
            <w:r>
              <w:rPr>
                <w:rFonts w:hint="default" w:ascii="Times New Roman" w:hAnsi="Times New Roman" w:eastAsia="宋体" w:cs="Times New Roman"/>
                <w:b/>
                <w:bCs/>
                <w:i w:val="0"/>
                <w:iCs w:val="0"/>
                <w:color w:val="000000"/>
                <w:kern w:val="0"/>
                <w:sz w:val="20"/>
                <w:szCs w:val="20"/>
                <w:u w:val="none"/>
                <w:lang w:val="en-US" w:eastAsia="zh-CN" w:bidi="ar"/>
              </w:rPr>
              <w:t>-18.9%</w:t>
            </w:r>
          </w:p>
        </w:tc>
      </w:tr>
    </w:tbl>
    <w:p>
      <w:pPr>
        <w:pStyle w:val="2"/>
        <w:ind w:left="0" w:leftChars="0" w:firstLine="0" w:firstLineChars="0"/>
        <w:rPr>
          <w:rFonts w:hint="default" w:ascii="Times New Roman" w:hAnsi="Times New Roman" w:cs="Times New Roman"/>
        </w:rPr>
      </w:pPr>
    </w:p>
    <w:tbl>
      <w:tblPr>
        <w:tblStyle w:val="8"/>
        <w:tblW w:w="91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042"/>
        <w:gridCol w:w="4547"/>
        <w:gridCol w:w="1080"/>
        <w:gridCol w:w="1080"/>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10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表2</w:t>
            </w:r>
          </w:p>
        </w:tc>
        <w:tc>
          <w:tcPr>
            <w:tcW w:w="4650" w:type="dxa"/>
            <w:tcBorders>
              <w:top w:val="nil"/>
              <w:left w:val="nil"/>
              <w:bottom w:val="nil"/>
              <w:right w:val="nil"/>
            </w:tcBorders>
            <w:shd w:val="clear" w:color="auto" w:fill="auto"/>
            <w:vAlign w:val="bottom"/>
          </w:tcPr>
          <w:p>
            <w:pPr>
              <w:jc w:val="both"/>
              <w:rPr>
                <w:rFonts w:hint="default" w:ascii="Times New Roman" w:hAnsi="Times New Roman" w:eastAsia="宋体" w:cs="Times New Roman"/>
                <w:i w:val="0"/>
                <w:iCs w:val="0"/>
                <w:color w:val="000000"/>
                <w:sz w:val="24"/>
                <w:szCs w:val="24"/>
                <w:u w:val="none"/>
              </w:rPr>
            </w:pPr>
          </w:p>
        </w:tc>
        <w:tc>
          <w:tcPr>
            <w:tcW w:w="1080" w:type="dxa"/>
            <w:tcBorders>
              <w:top w:val="nil"/>
              <w:left w:val="nil"/>
              <w:bottom w:val="nil"/>
              <w:right w:val="nil"/>
            </w:tcBorders>
            <w:shd w:val="clear" w:color="auto" w:fill="auto"/>
            <w:noWrap/>
            <w:vAlign w:val="bottom"/>
          </w:tcPr>
          <w:p>
            <w:pPr>
              <w:jc w:val="both"/>
              <w:rPr>
                <w:rFonts w:hint="default" w:ascii="Times New Roman" w:hAnsi="Times New Roman" w:eastAsia="宋体" w:cs="Times New Roman"/>
                <w:i w:val="0"/>
                <w:iCs w:val="0"/>
                <w:color w:val="000000"/>
                <w:sz w:val="24"/>
                <w:szCs w:val="24"/>
                <w:u w:val="none"/>
              </w:rPr>
            </w:pPr>
          </w:p>
        </w:tc>
        <w:tc>
          <w:tcPr>
            <w:tcW w:w="1080" w:type="dxa"/>
            <w:tcBorders>
              <w:top w:val="nil"/>
              <w:left w:val="nil"/>
              <w:bottom w:val="nil"/>
              <w:right w:val="nil"/>
            </w:tcBorders>
            <w:shd w:val="clear" w:color="auto" w:fill="auto"/>
            <w:noWrap/>
            <w:vAlign w:val="bottom"/>
          </w:tcPr>
          <w:p>
            <w:pPr>
              <w:jc w:val="both"/>
              <w:rPr>
                <w:rFonts w:hint="default" w:ascii="Times New Roman" w:hAnsi="Times New Roman" w:eastAsia="宋体" w:cs="Times New Roman"/>
                <w:i w:val="0"/>
                <w:iCs w:val="0"/>
                <w:color w:val="000000"/>
                <w:sz w:val="24"/>
                <w:szCs w:val="24"/>
                <w:u w:val="none"/>
              </w:rPr>
            </w:pPr>
          </w:p>
        </w:tc>
        <w:tc>
          <w:tcPr>
            <w:tcW w:w="1275" w:type="dxa"/>
            <w:tcBorders>
              <w:top w:val="nil"/>
              <w:left w:val="nil"/>
              <w:bottom w:val="nil"/>
              <w:right w:val="nil"/>
            </w:tcBorders>
            <w:shd w:val="clear" w:color="auto" w:fill="auto"/>
            <w:noWrap/>
            <w:vAlign w:val="bottom"/>
          </w:tcPr>
          <w:p>
            <w:pPr>
              <w:jc w:val="both"/>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165"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2025年泽普县一般公共预算支出表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080" w:type="dxa"/>
            <w:tcBorders>
              <w:top w:val="nil"/>
              <w:left w:val="nil"/>
              <w:bottom w:val="single" w:color="auto" w:sz="4" w:space="0"/>
              <w:right w:val="nil"/>
            </w:tcBorders>
            <w:shd w:val="clear" w:color="auto" w:fill="auto"/>
            <w:vAlign w:val="bottom"/>
          </w:tcPr>
          <w:p>
            <w:pPr>
              <w:jc w:val="both"/>
              <w:rPr>
                <w:rFonts w:hint="default" w:ascii="Times New Roman" w:hAnsi="Times New Roman" w:eastAsia="宋体" w:cs="Times New Roman"/>
                <w:i w:val="0"/>
                <w:iCs w:val="0"/>
                <w:color w:val="000000"/>
                <w:sz w:val="24"/>
                <w:szCs w:val="24"/>
                <w:u w:val="none"/>
              </w:rPr>
            </w:pPr>
          </w:p>
        </w:tc>
        <w:tc>
          <w:tcPr>
            <w:tcW w:w="4650" w:type="dxa"/>
            <w:tcBorders>
              <w:top w:val="nil"/>
              <w:left w:val="nil"/>
              <w:bottom w:val="single" w:color="auto" w:sz="4" w:space="0"/>
              <w:right w:val="nil"/>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c>
          <w:tcPr>
            <w:tcW w:w="0" w:type="auto"/>
            <w:tcBorders>
              <w:top w:val="nil"/>
              <w:left w:val="nil"/>
              <w:bottom w:val="single" w:color="auto" w:sz="4" w:space="0"/>
              <w:right w:val="nil"/>
            </w:tcBorders>
            <w:shd w:val="clear" w:color="auto" w:fill="auto"/>
            <w:noWrap/>
            <w:vAlign w:val="bottom"/>
          </w:tcPr>
          <w:p>
            <w:pPr>
              <w:jc w:val="both"/>
              <w:rPr>
                <w:rFonts w:hint="default" w:ascii="Times New Roman" w:hAnsi="Times New Roman" w:eastAsia="宋体" w:cs="Times New Roman"/>
                <w:i w:val="0"/>
                <w:iCs w:val="0"/>
                <w:color w:val="000000"/>
                <w:sz w:val="24"/>
                <w:szCs w:val="24"/>
                <w:u w:val="none"/>
              </w:rPr>
            </w:pPr>
          </w:p>
        </w:tc>
        <w:tc>
          <w:tcPr>
            <w:tcW w:w="0" w:type="auto"/>
            <w:tcBorders>
              <w:top w:val="nil"/>
              <w:left w:val="nil"/>
              <w:bottom w:val="single" w:color="auto" w:sz="4" w:space="0"/>
              <w:right w:val="nil"/>
            </w:tcBorders>
            <w:shd w:val="clear" w:color="auto" w:fill="auto"/>
            <w:noWrap/>
            <w:vAlign w:val="bottom"/>
          </w:tcPr>
          <w:p>
            <w:pPr>
              <w:jc w:val="both"/>
              <w:rPr>
                <w:rFonts w:hint="default" w:ascii="Times New Roman" w:hAnsi="Times New Roman" w:eastAsia="宋体" w:cs="Times New Roman"/>
                <w:i w:val="0"/>
                <w:iCs w:val="0"/>
                <w:color w:val="000000"/>
                <w:sz w:val="24"/>
                <w:szCs w:val="24"/>
                <w:u w:val="none"/>
              </w:rPr>
            </w:pPr>
          </w:p>
        </w:tc>
        <w:tc>
          <w:tcPr>
            <w:tcW w:w="0" w:type="auto"/>
            <w:tcBorders>
              <w:top w:val="nil"/>
              <w:left w:val="nil"/>
              <w:bottom w:val="single" w:color="auto" w:sz="4" w:space="0"/>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80" w:type="dxa"/>
            <w:tcBorders>
              <w:top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科目编码</w:t>
            </w:r>
          </w:p>
        </w:tc>
        <w:tc>
          <w:tcPr>
            <w:tcW w:w="4650" w:type="dxa"/>
            <w:tcBorders>
              <w:top w:val="single" w:color="auto"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项   目</w:t>
            </w:r>
          </w:p>
        </w:tc>
        <w:tc>
          <w:tcPr>
            <w:tcW w:w="1080" w:type="dxa"/>
            <w:tcBorders>
              <w:top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2024年预算数</w:t>
            </w:r>
          </w:p>
        </w:tc>
        <w:tc>
          <w:tcPr>
            <w:tcW w:w="1080" w:type="dxa"/>
            <w:tcBorders>
              <w:top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2025年预算数</w:t>
            </w:r>
          </w:p>
        </w:tc>
        <w:tc>
          <w:tcPr>
            <w:tcW w:w="1275" w:type="dxa"/>
            <w:tcBorders>
              <w:top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比上年预算数增 (减)%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一般公共服务支出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32641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33435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人大事务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400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441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380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411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人大会议</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人大立法</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人大监督</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人大代表履职能力提升</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代表工作</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人大信访工作</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其他人大事务支出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政协事务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287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335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272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330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2010202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2010203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2010204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政协会议</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2010205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委员视察</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2010206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参政议政</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2010250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2010299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其他政协事务支出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政府办公厅（室）及相关机构事务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20074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18374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20074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18266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2010302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2010303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2010304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专项服务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2010305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专项业务及机关事务管理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2010306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政务公开审批</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2010309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参事事务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2010350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108</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bookmarkStart w:id="4" w:name="OLE_LINK7"/>
            <w:r>
              <w:rPr>
                <w:rFonts w:hint="default" w:ascii="Times New Roman" w:hAnsi="Times New Roman" w:eastAsia="宋体" w:cs="Times New Roman"/>
                <w:i w:val="0"/>
                <w:iCs w:val="0"/>
                <w:color w:val="000000"/>
                <w:kern w:val="0"/>
                <w:sz w:val="22"/>
                <w:szCs w:val="22"/>
                <w:u w:val="none"/>
                <w:lang w:val="en-US" w:eastAsia="zh-CN" w:bidi="ar"/>
              </w:rPr>
              <w:t>0.0%</w:t>
            </w:r>
            <w:bookmarkEnd w:id="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2010399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其他政府办公厅（室）及相关机构事务支出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发展与改革事务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246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400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245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399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战略规划与实施</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日常经济运行调节</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社会事业发展规划</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经济体制改革研究</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物价管理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其他发展与改革事务支出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统计信息事务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信息事务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专项统计业务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统计管理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专项普查活动</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统计抽样调查</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其他统计信息事务支出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财政事务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838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889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838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889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预算改革业务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财政国库业务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财政监察</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信息化建设</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财政委托业务支出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其他财政事务支出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税收事务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2010701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2010702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2010703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2010709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信息化建设</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2010710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税收业务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2010750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2010799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其他税收事务支出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审计事务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195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2010801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195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2010802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2010803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2010804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审计业务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2010805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审计管理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2010806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信息化建设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2010850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2010899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其他审计事务支出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海关事务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缉私办案</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口岸管理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信息化建设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海关关务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关税征管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2010911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海关监管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2010912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检验检疫</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其他海关事务支出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纪检监察事务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1277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1476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1277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1476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2011104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大案要案查处</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2011105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派驻派出机构</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2011106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巡视工作</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2011150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其他纪检监察事务支出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商贸事务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401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538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对外贸易管理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国际经济合作</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外资管理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国内贸易管理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招商引资</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249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417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其他商贸事务支出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知识产权事务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专利审批</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知识产权战略和规划</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国际合作与交流</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知识产权宏观管理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商标管理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2011411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原产地地理标志管理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其他知识产权事务支出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民族事务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2012302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2012303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2012304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民族工作专项</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2012350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2012399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其他民族事务支出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港澳台事务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2012501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2012502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2012503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2012504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港澳事务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2012505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台湾事务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2012550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2012599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其他港澳台事务支出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档案事务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2012601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2012602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2012603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2012604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档案馆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2012699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其他档案事务支出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民主党派及工商联事务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2012801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2012802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2012803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2012804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参政议政</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2012850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2012899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其他民主党派及工商联事务支出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群众团体事务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823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2012901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2012902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822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2012903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2012906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工会事务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2012950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其他群众团体事务支出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党委办公厅（室）及相关机构事务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1977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1601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1969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1601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2013105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专项业务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2013150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其他党委办公厅（室）及相关机构事务支出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组织事务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4525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5839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4517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5461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2013202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2013203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2013204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公务员事务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2013250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2013299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其他组织事务支出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378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4625.0%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宣传事务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2013302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2013303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2013304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宣传管理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2013350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2013399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其他宣传事务支出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统战事务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878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854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2013401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365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423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2013402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2013403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2013404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宗教事务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513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431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2013405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华侨事务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2013450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2013499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其他统战事务支出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对外联络事务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2013501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2013502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2013503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2013550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2013599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其他对外联络事务支出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其他共产党事务支出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524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2013601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524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2013602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2013603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2013650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2013699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其他共产党事务支出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网信事务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2013701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2013702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2013703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2013704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信息安全事务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2013750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2013799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其他网信事务支出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市场监督管理事务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575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570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575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经营主体管理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市场秩序执法</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信息化建设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质量基础</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2013812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药品事务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2013813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医疗器械事务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2013814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化妆品事务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2013815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质量安全监管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2013816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食品安全监管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其他市场监督管理事务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社会工作事务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2013901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178</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2013902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2013903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2013904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专项业务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2013950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其他社会工作事务支出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信访事务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2014001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2014002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2014003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2014004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信访业务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2014050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2014099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其他信访事务支出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数据事务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2014150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其他数据事务支出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其他一般公共服务支出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2019901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国家赔偿费用支出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2019999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其他一般公共服务支出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33</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外交支出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外交管理事务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2020104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专项业务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2020150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其他外交管理事务支出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驻外机构</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驻外使领馆（团、处）</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2020202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其他驻外机构支出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对外援助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2020304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援外优惠贷款贴息</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2020306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对外援助</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国际组织</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2020401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国际组织会费</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2020402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国际组织捐赠</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2020403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维和摊款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2020404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国际组织股金及基金</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2020499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其他国际组织支出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对外合作与交流</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2020503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在华国际会议</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2020504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国际交流活动</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2020505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对外合作活动</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2020599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其他对外合作与交流支出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对外宣传</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2020601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对外宣传</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边界勘界联检</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2020701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边界勘界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2020702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边界联检</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2020703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边界界桩维护</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2020799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国际发展合作</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2020801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2020802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2020803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2020850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2020899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其他国际发展合作支出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其他外交支出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2029999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其他外交支出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国防支出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军费</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现役部队</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预备役部队</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其他军费支出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国防科研事业</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2030401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国防科研事业</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专项工程</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2030501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专项工程</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国防动员</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2030601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兵役征集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2030602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经济动员</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2030603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人民防空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2030604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交通战备</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2030607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民兵</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2030608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边海防</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2030699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其他国防动员支出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其他国防支出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2039999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其他国防支出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公共安全支出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18295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18096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武装警察部队</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武装警察部队</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其他武装警察部队支出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公安</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15796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17147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15751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15077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2040219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信息化建设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2040220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执法办案</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2040221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特别业务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2040222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特勤业务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2040223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移民事务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其他公安支出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2020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4388.9%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国家安全</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2040302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2040303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2040304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安全业务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2040350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2040399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其他国家安全支出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检察</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2040401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2040402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2040403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2040409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“两房”建设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2040410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检察监督</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2040450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2040499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其他检察支出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法院</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2040501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2040502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2040503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2040504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案件审判</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2040505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案件执行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2040506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“两庭”建设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2040550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2040599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其他法院支出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司法</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693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949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688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757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基层司法业务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普法宣传</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律师管理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公共法律服务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国家统一法律职业资格考试</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社区矫正</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2040612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法治建设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2040613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信息化建设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其他司法支出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192</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监狱</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2040701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2040702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2040703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2040704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罪犯生活及医疗卫生</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2040705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监狱业务及罪犯改造</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2040706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狱政设施建设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2040707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信息化建设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2040750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2040799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其他监狱支出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强制隔离戒毒</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2040801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2040802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2040803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2040804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强制隔离戒毒人员生活</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2040805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强制隔离戒毒人员教育</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2040806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所政设施建设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2040807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信息化建设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2040850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2040899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其他强制隔离戒毒支出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国家保密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2040901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2040902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2040903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2040904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保密技术</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2040905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保密管理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2040950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其他国家保密支出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缉私警察</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2041001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2041002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2041006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信息化建设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2041007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缉私业务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2041099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其他缉私警察支出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其他公共安全支出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1806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2049902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国家司法救助支出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2049999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其他公共安全支出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1806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教育支出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92459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104612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教育管理事务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721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615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721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615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其他教育管理事务支出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普通教育</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86812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95967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学前教育</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11765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15242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2050202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小学教育</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33073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37401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2050203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初中教育</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18208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26852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2050204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高中教育</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10743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8029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2050205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高等教育</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2050299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其他普通教育支出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13023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8443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职业教育</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4364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5568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初等职业教育</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2050302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中等职业教育</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3508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4181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2050303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技校教育</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856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1387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2050305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高等职业教育</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2050399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其他职业教育支出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成人教育</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2050401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成人初等教育</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2050402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成人中等教育</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2050403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成人高等教育</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2050404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成人广播电视教育</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2050499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其他成人教育支出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广播电视教育</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2050501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广播电视学校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2050502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教育电视台</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2050599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其他广播电视教育支出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留学教育</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2050601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出国留学教育</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2050602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来华留学教育</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2050699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其他留学教育支出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特殊教育</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2050701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特殊学校教育</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2050702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专门学校教育</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2050799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其他特殊教育支出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进修及培训</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394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425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2050801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教师进修</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2050802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干部教育</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394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425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2050803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培训支出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2050804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退役士兵能力提升</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2050899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其他进修及培训</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教育费附加安排的支出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2050901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农村中小学校舍建设</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2050902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农村中小学教学设施</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2050903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城市中小学校舍建设</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2050904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城市中小学教学设施</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2050905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中等职业学校教学设施</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其他教育费附加安排的支出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其他教育支出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2000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2059999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其他教育支出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2000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科学技术支出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科学技术管理事务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其他科学技术管理事务支出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基础研究</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机构运行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2060203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自然科学基金</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2060204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实验室及相关设施</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2060205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重大科学工程</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2060206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专项基础科研</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2060207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专项技术基础</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2060208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科技人才队伍建设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2060299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其他基础研究支出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应用研究</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机构运行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2060302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社会公益研究</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2060303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高技术研究</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2060304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专项科研试制</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2060399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其他应用研究支出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技术研究与开发</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2060401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机构运行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2060404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科技成果转化与扩散</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2060405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共性技术研究与开发</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2060499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其他技术研究与开发支出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科技条件与服务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2060501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机构运行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2060502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技术创新服务体系</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2060503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科技条件专项</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2060599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其他科技条件与服务支出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社会科学</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2060601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社会科学研究机构</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2060602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社会科学研究</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2060603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社科基金支出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2060699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其他社会科学支出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科学技术普及</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2060701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机构运行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2060702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科普活动</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2060703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青少年科技活动</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2060704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学术交流活动</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2060705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科技馆站</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2060799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其他科学技术普及支出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科技交流与合作</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2060801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国际交流与合作</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2060802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重大科技合作项目</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2060899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其他科技交流与合作支出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科技重大项目</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2060901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科技重大专项</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2060902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重点研发计划</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其他科技重大项目</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其他科学技术支出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2069901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科技奖励</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2069902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核应急</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2069903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转制科研机构</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2069999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其他科学技术支出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文化旅游体育与传媒支出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2440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2943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文化和旅游</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1859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1896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1243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1097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图书馆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文化展示及纪念机构</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艺术表演场所</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艺术表演团体</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文化活动</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群众文化</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文化和旅游交流与合作</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2070111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文化创作与保护</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2070112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文化和旅游市场管理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2070113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旅游宣传</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2070114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文化和旅游管理事务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616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656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其他文化和旅游支出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文物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2070202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2070203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2070204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文物保护</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2070205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博物馆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2070206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历史名城与古迹</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2070299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其他文物支出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体育</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运动项目管理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体育竞赛</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体育训练</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体育场馆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群众体育</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体育交流与合作</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其他体育支出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新闻出版电影</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2070601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2070602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2070603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2070604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新闻通讯</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2070605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出版发行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2070606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版权管理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2070607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电影</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2070699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其他新闻出版电影支出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广播电视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464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489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2070801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2070802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2070803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2070806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监测监管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2070807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传输发射</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2070808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广播电视事务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424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447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2070899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其他广播电视支出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其他文化旅游体育与传媒支出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523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570.5%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2079902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宣传文化发展专项支出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2079903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文化产业发展专项支出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2079999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其他文化旅游体育与传媒支出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523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570.5%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社会保障和就业支出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41180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30333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人力资源和社会保障管理事务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2413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959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1883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687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综合业务管理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劳动保障监察</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就业管理事务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社会保险业务管理事务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信息化建设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社会保险经办机构</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劳动关系和维权</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2080111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公共就业服务和职业技能鉴定机构</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2080112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劳动人事争议调解仲裁</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2080113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政府特殊津贴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2080114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资助留学回国人员</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2080115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博士后日常经费</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2080116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引进人才费用</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227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其他人力资源和社会保障管理事务支出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299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263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民政管理事务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299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1195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299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1195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2080202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2080203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2080206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社会组织管理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2080207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行政区划和地名管理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2080209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老龄事务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2080299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其他民政管理事务支出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补充全国社会保障基金</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2080402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用一般公共预算补充基金</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行政事业单位养老支出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15220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8900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2080501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行政单位离退休</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987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1276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2080502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事业单位离退休</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450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198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2080503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离退休人员管理机构</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2080505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机关事业单位基本养老保险缴费支出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13446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7052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2080506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机关事业单位职业年金缴费支出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337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374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2080507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对机关事业单位基本养老保险基金的补助</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2080508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对机关事业单位职业年金的补助</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2080599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其他行政事业单位养老支出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企业改革补助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2080601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企业关闭破产补助</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2080602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厂办大集体改革补助</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2080699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其他企业改革发展补助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就业补助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1342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1285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2080701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就业创业服务补助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2080702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职业培训补贴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246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2080704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社会保险补贴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2080705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公益性岗位补贴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1239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2080709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职业技能评价补贴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2080711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就业见习补贴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2080712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高技能人才培养补助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2080713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求职和创业补贴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2080799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其他就业补助支出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1029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899.0%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抚恤</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499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389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2080801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死亡抚恤</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333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2080802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伤残抚恤</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2080803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在乡复员、退伍军人生活补助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2080805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义务兵优待</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2080806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农村籍退役士兵老年生活补助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2080807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光荣院</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2080808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褒扬纪念</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2080899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其他优抚支出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332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249.5%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退役安置</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358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249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2080901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退役士兵安置</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2080902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军队移交政府的离退休人员安置</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2080903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军队移交政府离退休干部管理机构</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2080904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退役士兵管理教育</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2080905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军队转业干部安置</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227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191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其他退役安置支出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社会福利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2081001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儿童福利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2081002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老年福利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2081003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康复辅具</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2081004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殡葬</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2081005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社会福利事业单位</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2081006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养老服务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2081099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其他社会福利支出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残疾人事业</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1151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1288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212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2081104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残疾人康复</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2081105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残疾人就业</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2081106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残疾人体育</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2081107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残疾人生活和护理补贴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901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1046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其他残疾人事业支出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红十字事业</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2081601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2081602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2081603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2081650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2081699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其他红十字事业支出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最低生活保障</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14321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2081901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城市最低生活保障金支出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2081902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农村最低生活保障金支出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14321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临时救助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2082001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临时救助支出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2082002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流浪乞讨人员救助支出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特困人员救助供养</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城市特困人员救助供养支出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农村特困人员救助供养支出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补充道路交通事故社会救助基金</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2082401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对道路交通事故社会救助基金的补助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2082402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交强险罚款收入补助基金支出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其他生活救助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2082501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其他城市生活救助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2082502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其他农村生活救助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财政对基本养老保险基金的补助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3869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448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2082601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财政对企业职工基本养老保险基金的补助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2082602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财政对城乡居民基本养老保险基金的补助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3774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351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2082699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财政对其他基本养老保险基金的补助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财政对其他社会保险基金的补助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2082701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财政对失业保险基金的补助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2082702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财政对工伤保险基金的补助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2082799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其他财政对社会保险基金的补助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退役军人管理事务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2082801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2082802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2082803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2082804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拥军优属</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2082805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军供保障</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2082806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信息化建设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2082850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2082899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其他退役军人事务管理支出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20830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财政代缴社会保险费支出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2083001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财政代缴城乡居民基本养老保险费支出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2083099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财政代缴其他社会保险费支出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其他社会保障和就业支出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1511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15320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2089999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其他社会保障和就业支出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1511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15320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卫生健康支出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26710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21886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卫生健康管理事务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1285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2664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883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1860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其他卫生健康管理事务支出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402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804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公立医院</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9570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4423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综合医院</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7737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4277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中医（民族）医院</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1717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传染病医院</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职业病防治医院</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精神病医院</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妇幼保健医院</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儿童医院</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其他专科医院</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福利医院</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行业医院</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2100211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处理医疗欠费</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2100212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康复医院</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2100213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优抚医院</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其他公立医院支出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基层医疗卫生机构</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6593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5754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城市社区卫生机构</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2100302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乡镇卫生院</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6193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5530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2100399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其他基层医疗卫生机构支出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400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224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公共卫生</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5542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3804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疾病预防控制机构</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597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493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卫生监督机构</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妇幼保健机构</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272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8966.7%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精神卫生机构</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应急救治机构</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采供血机构</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其他专业公共卫生机构</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基本公共卫生服务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1669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1800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重大公共卫生服务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3178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突发公共卫生事件应急处置</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其他公共卫生支出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1050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计划生育事务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1874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4470.7%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2100716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计划生育机构</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2100717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计划生育服务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1874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4470.7%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2100799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其他计划生育事务支出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行政事业单位医疗</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3051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2878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行政单位医疗</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2521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2240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事业单位医疗</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公务员医疗补助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422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461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其他行政事业单位医疗支出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财政对基本医疗保险基金的补助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财政对职工基本医疗保险基金的补助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2101202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财政对城乡居民基本医疗保险基金的补助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2101299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财政对其他基本医疗保险基金的补助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医疗救助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城乡医疗救助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2101302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疾病应急救助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2101399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其他医疗救助支出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优抚对象医疗</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2101401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优抚对象医疗补助</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2101499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其他优抚对象医疗支出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医疗保障管理事务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223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485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2101501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461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2101502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2101503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2101504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信息化建设</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2101505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医疗保障政策管理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2101506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医疗保障经办事务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2101550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2101599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其他医疗保障管理事务支出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中医药事务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2101701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2101702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2101703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2101704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中医（民族医）药专项</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2101750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2101799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其他中医药事务支出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疾病预防控制事务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2101801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2101802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2101803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2101899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其他疾病预防控制事务支出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托育服务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2101901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托育机构</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其他托育服务支出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其他卫生健康支出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2109999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其他卫生健康支出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节能环保支出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860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2878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234.7%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环境保护管理事务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2110104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生态环境保护宣传</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2110105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环境保护法规、规划及标准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2110106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生态环境国际合作及履约</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2110107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生态环境保护行政许可</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2110108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应对气候变化管理事务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其他环境保护管理事务支出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环境监测与监察</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2110203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建设项目环评审查与监督</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2110204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核与辐射安全监督</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2110299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其他环境监测与监察支出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污染防治</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1400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大气</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1400</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2110302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水体</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2110303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噪声</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2110304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固体废弃物与化学品</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2110305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放射源和放射性废物监管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2110306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辐射</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2110307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土壤</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2110399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其他污染防治支出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自然生态保护</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675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1315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2110401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生态保护</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675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1315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2110402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农村环境保护</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2110404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生物及物种资源保护</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2110405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草原生态修复治理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2110406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自然保护地</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2110499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其他自然生态保护支出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森林保护修复</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2110501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森林管护</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2110502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社会保险补助</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2110503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政策性社会性支出补助</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2110506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天然林保护工程建设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2110507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停伐补助</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2110599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其他森林保护修复支出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风沙荒漠治理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2110704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京津风沙源治理工程建设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2110799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其他风沙荒漠治理支出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退牧还草</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2110804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退牧还草工程建设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2110899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其他退牧还草支出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已垦草原退耕还草</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2110901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已垦草原退耕还草</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能源节约利用</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2111001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能源节约利用</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污染减排</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生态环境监测与信息</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生态环境执法监察</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减排专项支出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2111104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清洁生产专项支出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其他污染减排支出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清洁能源</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可再生能源</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2111299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其他清洁能源支出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循环经济</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循环经济</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能源管理事务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能源科技装备</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能源行业管理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能源管理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2111411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信息化建设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2111413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农村电网建设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其他能源管理事务支出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其他节能环保支出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2119999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其他节能环保支出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城乡社区支出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1039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3485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235.4%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城乡社区管理事务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1038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841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678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721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城管执法</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工程建设标准规范编制与监管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工程建设管理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市政公用行业市场监管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住宅建设与房地产市场监管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执业资格注册、资质审查</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其他城乡社区管理事务支出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360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城乡社区规划与管理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城乡社区规划与管理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城乡社区公共设施</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2644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264300.0%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2120303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小城镇基础设施建设</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2319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2120399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其他城乡社区公共设施支出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325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城乡社区环境卫生</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2120501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城乡社区环境卫生</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建设市场管理与监督</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2120601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建设市场管理与监督</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其他城乡社区支出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2129999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其他城乡社区支出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农林水支出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48687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45505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农业农村</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16602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13873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1671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1988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1127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951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农垦运行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科技转化与推广服务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病虫害控制</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212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农产品质量安全</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执法监管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2130111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统计监测与信息服务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2130112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行业业务管理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2130114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对外交流与合作</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2130119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防灾救灾</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2130120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稳定农民收入补贴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6745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6135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2130121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农业结构调整补贴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2130122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农业生产发展</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3258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1132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2130124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农村合作经济</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792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729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2130125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农产品加工与促销</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2130126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农村社会事业</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2130135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农业生态资源保护</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2130142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乡村道路建设</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2130148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渔业发展</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2130152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对高校毕业生到基层任职补助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2130153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耕地建设与利用</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2270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2568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其他农业农村支出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435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林业和草原</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629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468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事业机构</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森林资源培育</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技术推广与转化</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森林资源管理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森林生态效益补偿</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2130211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动植物保护</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2130212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湿地保护</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2130213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执法与监督</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2130217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防沙治沙</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2130220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对外合作与交流</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2130221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产业化管理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124</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2130223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信息管理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2130226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林区公共支出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2130227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贷款贴息</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2130234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林业草原防灾减灾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2130236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草原管理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2130237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行业业务管理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2130238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退耕还林还草</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487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245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其他林业和草原支出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水利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2784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2040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1862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1228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水利行业业务管理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水利工程建设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300</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水利工程运行与维护</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176</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长江黄河等流域管理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水利前期工作</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水利执法监督</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水土保持</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300</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2130311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水资源节约管理与保护</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32</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2130312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水质监测</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2130313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水文测报</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2130314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防汛</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2130315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抗旱</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2130316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农村水利</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2130317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水利技术推广</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2130318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国际河流治理与管理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2130319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江河湖库水系综合整治</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2130321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大中型水库移民后期扶持专项支出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480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2130322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水利安全监督</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2130333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信息管理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2130334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水利建设征地及移民支出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2130335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农村供水</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2130336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南水北调工程建设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2130337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南水北调工程管理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其他水利支出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442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巩固脱贫攻坚成果衔接乡村振兴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22413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22328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2130504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农村基础设施建设</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527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1148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2130505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生产发展</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21886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21180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2130506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社会发展</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2130507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贷款奖补和贴息</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2130508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“三西”农业建设专项补助</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2130599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其他巩固脱贫攻坚成果衔接乡村振兴支出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农村综合改革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1041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1224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2130701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对村级公益事业建设的补助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1041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1224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2130704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国有农场办社会职能改革补助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2130705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对村民委员会和村党支部的补助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2130706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对村集体经济组织的补助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2130707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农村综合改革示范试点补助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2130799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其他农村综合改革支出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普惠金融发展支出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1681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3484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2130801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支持农村金融机构</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2130803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农业保险保费补贴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1653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3388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2130804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创业担保贷款贴息及奖补</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2130805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补充创业担保贷款基金</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2130899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其他普惠金融发展支出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242.9%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目标价格补贴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2130901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棉花目标价格补贴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其他目标价格补贴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其他农林水支出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3537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2088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2139901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化解其他公益性乡村债务支出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2139999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其他农林水支出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3537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2088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交通运输支出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2160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2525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公路水路运输</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2160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2525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236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315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公路建设</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1581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1674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公路养护</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343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536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交通运输信息化建设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公路和运输安全</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2140112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公路运输管理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2140114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公路和运输技术标准化建设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2140122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水运建设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2140123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航道维护</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2140127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船舶检验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2140128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救助打捞</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2140129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内河运输</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2140130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远洋运输</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2140131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海事管理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2140133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航标事业发展支出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2140136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水路运输管理支出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2140138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口岸建设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其他公路水路运输支出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铁路运输</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2140202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2140203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2140204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铁路路网建设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2140205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铁路还贷专项</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2140206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铁路安全</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2140207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铁路专项运输</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2140208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行业监管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2140299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其他铁路运输支出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民用航空运输</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2140302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2140303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2140304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机场建设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2140305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空管系统建设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2140306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民航还贷专项支出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2140307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民用航空安全</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2140308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民航专项运输</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2140399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其他民用航空运输支出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邮政业支出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2140501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2140502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2140503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2140504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行业监管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2140505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邮政普遍服务与特殊服务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2140599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其他邮政业支出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其他交通运输支出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2149901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公共交通运营补助</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2149999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其他交通运输支出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资源勘探工业信息等支出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资源勘探开发</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2150104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煤炭勘探开采和洗选</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2150105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石油和天然气勘探开采</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2150106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黑色金属矿勘探和采选</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2150107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有色金属矿勘探和采选</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2150108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非金属矿勘探和采选</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其他资源勘探业支出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制造业</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纺织业</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44</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医药制造业</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非金属矿物制品业</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通信设备、计算机及其他电子设备制造业</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交通运输设备制造业</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电气机械及器材制造业</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工艺品及其他制造业</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2150212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石油加工、炼焦及核燃料加工业</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2150213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化学原料及化学制品制造业</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2150214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黑色金属冶炼及压延加工业</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2150215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有色金属冶炼及压延加工业</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其他制造业支出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建筑业</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2150302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2150303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2150399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其他建筑业支出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工业和信息产业</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93</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战备应急</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专用通信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无线电及信息通信监管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2150516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工程建设及运行维护</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2150517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产业发展</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其他工业和信息产业支出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国有资产监管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2150701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2150702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2150703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2150704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国有企业监事会专项</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2150799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其他国有资产监管支出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支持中小企业发展和管理支出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2150801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2150802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2150803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2150804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科技型中小企业技术创新基金</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2150805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中小企业发展专项</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2150806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减免房租补贴</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2150899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其他支持中小企业发展和管理支出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其他资源勘探工业信息等支出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2159901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黄金事务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2159904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技术改造支出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2159905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中药材扶持资金支出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2159906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重点产业振兴和技术改造项目贷款贴息</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2159999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其他资源勘探工业信息等支出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商业服务业等支出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288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商业流通事务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2160202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2160203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2160216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食品流通安全补贴</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2160217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市场监测及信息管理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2160218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民贸企业补贴</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2160219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民贸民品贷款贴息</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2160250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2160299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其他商业流通事务支出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涉外发展服务支出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2160601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2160602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2160603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2160607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外商投资环境建设补助资金</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2160699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其他涉外发展服务支出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其他商业服务业等支出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2169901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服务业基础设施建设</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2169999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其他商业服务业等支出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金融支出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金融部门行政支出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2170104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安全防卫</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2170150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金融部门其他行政支出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金融部门监管支出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货币发行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2170202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金融服务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2170203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反假币</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2170204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重点金融机构监管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2170205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金融稽查与案件处理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2170206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金融行业电子化建设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2170207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从业人员资格考试</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2170208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反洗钱</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2170299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金融部门其他监管支出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金融发展支出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政策性银行亏损补贴</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2170302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利息费用补贴支出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2170303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补充资本金</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2170304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风险基金补助</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2170399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其他金融发展支出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金融调控支出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2170499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其他金融调控支出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其他金融支出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2179902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重点企业贷款贴息</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2179999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其他金融支出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援助其他地区支出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一般公共服务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一般公共服务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教育</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教育</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文化旅游体育与传媒</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文化旅游体育与传媒</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卫生健康</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卫生健康</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节能环保</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节能环保</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农业农村</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农业农村</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交通运输</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交通运输</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住房保障</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住房保障</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自然资源海洋气象等支出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894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968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自然资源事务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882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955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882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955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自然资源规划及管理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自然资源利用与保护</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自然资源社会公益服务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自然资源行业业务管理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自然资源调查与确权登记</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2200112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土地资源储备支出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2200113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地质矿产资源与环境调查</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2200114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地质勘查与矿产资源管理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2200115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地质转产项目财政贴息</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2200116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国外风险勘查</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2200119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地质勘查基金（周转金）支出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2200120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海域与海岛管理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2200121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自然资源国际合作与海洋权益维护</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2200122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自然资源卫星</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2200123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极地考察</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2200124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深海调查与资源开发</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2200125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海港航标维护</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2200126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海水淡化</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2200127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无居民海岛使用金支出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2200128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海洋战略规划与预警监测</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2200129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基础测绘与地理信息监管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其他自然资源事务支出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气象事务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气象事业机构</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气象探测</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气象信息传输及管理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气象预报预测</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气象服务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气象装备保障维护</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2200511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气象基础设施建设与维修</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2200512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气象卫星</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2200513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气象法规与标准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2200514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气象资金审计稽查</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其他气象事务支出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其他自然资源海洋气象等支出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2209999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其他自然资源海洋气象等支出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住房保障支出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8907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10422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保障性安居工程支出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3291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5631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廉租住房</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沉陷区治理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棚户区改造</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2210104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少数民族地区游牧民定居工程</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2210105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农村危房改造</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1407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3331.7%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2210108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老旧小区改造</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921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2210109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住房租赁市场发展</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2210111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配租型住房保障</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850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2210112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配售型保障性住房</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2210113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城中村改造</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bookmarkStart w:id="6" w:name="_GoBack" w:colFirst="4" w:colLast="4"/>
            <w:r>
              <w:rPr>
                <w:rFonts w:hint="default" w:ascii="Times New Roman" w:hAnsi="Times New Roman" w:eastAsia="宋体" w:cs="Times New Roman"/>
                <w:i w:val="0"/>
                <w:iCs w:val="0"/>
                <w:color w:val="000000"/>
                <w:kern w:val="0"/>
                <w:sz w:val="22"/>
                <w:szCs w:val="22"/>
                <w:u w:val="none"/>
                <w:lang w:val="en-US" w:eastAsia="zh-CN" w:bidi="ar"/>
              </w:rPr>
              <w:t>2210199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其他保障性安居工程支出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2400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3303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住房改革支出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5275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4791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住房公积金</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5275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4791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-9.2%</w:t>
            </w:r>
          </w:p>
        </w:tc>
      </w:tr>
      <w:bookmarkEnd w:id="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2210202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提租补贴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2210203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购房补贴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城乡社区住宅</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341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公有住房建设和维修改造支出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2210302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住房公积金管理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2210399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其他城乡社区住宅支出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341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粮油物资储备支出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1583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1179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粮油物资事务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1527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1179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财务和审计支出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信息统计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专项业务活动</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国家粮油差价补贴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2220112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粮食财务挂账利息补贴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2220113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粮食财务挂账消化款</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2220114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处理陈化粮补贴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2220115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粮食风险基金</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2220118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粮油市场调控专项资金</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2220119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设施建设</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2220120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设施安全</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2220121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物资保管保养</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其他粮油物资事务支出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1478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1152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能源储备</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石油储备</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2220303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天然铀储备</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2220304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煤炭储备</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2220305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成品油储备</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2220306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天然气储备</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2220399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其他能源储备支出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粮油储备</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2220401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储备粮油补贴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2220402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储备粮油差价补贴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2220403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储备粮（油）库建设</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2220404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最低收购价政策支出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2220499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其他粮油储备支出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重要商品储备</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棉花储备</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食糖储备</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肉类储备</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化肥储备</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农药储备</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边销茶储备</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羊毛储备</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医药储备</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食盐储备</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战略物资储备</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2220511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应急物资储备</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其他重要商品储备支出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灾害防治及应急管理支出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495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466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应急管理事务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271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266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灾害风险防治</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国务院安委会专项</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安全监管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应急救援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应急管理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其他应急管理支出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消防救援事务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2240202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2240203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2240204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消防应急救援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2240250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2240299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其他消防救援事务支出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矿山安全</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2240401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2240402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2240403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2240404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矿山安全监察事务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2240405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矿山应急救援事务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2240450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2240499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其他矿山安全支出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地震事务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地震监测</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地震预测预报</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地震灾害预防</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地震应急救援</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地震环境探察</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防震减灾信息管理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防震减灾基础管理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地震事业机构</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其他地震事务支出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自然灾害防治</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2240601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地质灾害防治</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2240602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森林草原防灾减灾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2240699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其他自然灾害防治支出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自然灾害救灾及恢复重建支出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2240703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自然灾害救灾补助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2240704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自然灾害灾后重建补助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2240799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其他自然灾害救灾及恢复重建支出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其他灾害防治及应急管理支出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2249999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其他灾害防治及应急管理支出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预备费</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3100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3200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预备费</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3100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3200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25978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21826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年初预留</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17148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2290201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年初预留</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17148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25978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4678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2299999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25978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4678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债务付息支出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2572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2586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地方政府一般债务付息支出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2572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2586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地方政府一般债券付息支出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2572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2551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2320302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地方政府向外国政府借款付息支出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2320303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地方政府向国际组织借款付息支出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2320399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地方政府其他一般债务付息支出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债务发行费用支出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地方政府一般债务发行费用支出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地方政府一般债务发行费用支出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bottom"/>
          </w:tcPr>
          <w:p>
            <w:pPr>
              <w:jc w:val="left"/>
              <w:rPr>
                <w:rFonts w:hint="default" w:ascii="Times New Roman" w:hAnsi="Times New Roman" w:eastAsia="宋体" w:cs="Times New Roman"/>
                <w:i w:val="0"/>
                <w:iCs w:val="0"/>
                <w:color w:val="000000"/>
                <w:sz w:val="22"/>
                <w:szCs w:val="22"/>
                <w:u w:val="none"/>
              </w:rPr>
            </w:pPr>
          </w:p>
        </w:tc>
        <w:tc>
          <w:tcPr>
            <w:tcW w:w="0" w:type="auto"/>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一般公共预算支出合计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20"/>
                <w:szCs w:val="20"/>
                <w:u w:val="none"/>
                <w:lang w:val="en-US" w:eastAsia="zh-CN" w:bidi="ar"/>
              </w:rPr>
            </w:pPr>
            <w:r>
              <w:rPr>
                <w:rFonts w:hint="default" w:ascii="Times New Roman" w:hAnsi="Times New Roman" w:eastAsia="宋体" w:cs="Times New Roman"/>
                <w:b/>
                <w:bCs/>
                <w:i w:val="0"/>
                <w:iCs w:val="0"/>
                <w:color w:val="000000"/>
                <w:kern w:val="0"/>
                <w:sz w:val="20"/>
                <w:szCs w:val="20"/>
                <w:u w:val="none"/>
                <w:lang w:val="en-US" w:eastAsia="zh-CN" w:bidi="ar"/>
              </w:rPr>
              <w:t>310421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20"/>
                <w:szCs w:val="20"/>
                <w:u w:val="none"/>
                <w:lang w:val="en-US" w:eastAsia="zh-CN" w:bidi="ar"/>
              </w:rPr>
            </w:pPr>
            <w:r>
              <w:rPr>
                <w:rFonts w:hint="default" w:ascii="Times New Roman" w:hAnsi="Times New Roman" w:eastAsia="宋体" w:cs="Times New Roman"/>
                <w:b/>
                <w:bCs/>
                <w:i w:val="0"/>
                <w:iCs w:val="0"/>
                <w:color w:val="000000"/>
                <w:kern w:val="0"/>
                <w:sz w:val="20"/>
                <w:szCs w:val="20"/>
                <w:u w:val="none"/>
                <w:lang w:val="en-US" w:eastAsia="zh-CN" w:bidi="ar"/>
              </w:rPr>
              <w:t>306739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20"/>
                <w:szCs w:val="20"/>
                <w:u w:val="none"/>
                <w:lang w:val="en-US" w:eastAsia="zh-CN" w:bidi="ar"/>
              </w:rPr>
            </w:pPr>
            <w:r>
              <w:rPr>
                <w:rFonts w:hint="default" w:ascii="Times New Roman" w:hAnsi="Times New Roman" w:eastAsia="宋体" w:cs="Times New Roman"/>
                <w:b/>
                <w:bCs/>
                <w:i w:val="0"/>
                <w:iCs w:val="0"/>
                <w:color w:val="000000"/>
                <w:kern w:val="0"/>
                <w:sz w:val="20"/>
                <w:szCs w:val="20"/>
                <w:u w:val="none"/>
                <w:lang w:val="en-US" w:eastAsia="zh-CN" w:bidi="ar"/>
              </w:rPr>
              <w:t>-1.2%</w:t>
            </w:r>
          </w:p>
        </w:tc>
      </w:tr>
    </w:tbl>
    <w:p>
      <w:pPr>
        <w:rPr>
          <w:rFonts w:hint="default" w:ascii="Times New Roman" w:hAnsi="Times New Roman" w:cs="Times New Roman"/>
        </w:rPr>
      </w:pPr>
    </w:p>
    <w:p>
      <w:pPr>
        <w:pStyle w:val="2"/>
        <w:rPr>
          <w:rFonts w:hint="default"/>
        </w:rPr>
      </w:pPr>
    </w:p>
    <w:p>
      <w:pPr>
        <w:rPr>
          <w:rFonts w:hint="default"/>
        </w:rPr>
      </w:pPr>
    </w:p>
    <w:p>
      <w:pPr>
        <w:pStyle w:val="2"/>
        <w:rPr>
          <w:rFonts w:hint="default"/>
        </w:rPr>
      </w:pPr>
    </w:p>
    <w:tbl>
      <w:tblPr>
        <w:tblStyle w:val="8"/>
        <w:tblW w:w="8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080"/>
        <w:gridCol w:w="3645"/>
        <w:gridCol w:w="1080"/>
        <w:gridCol w:w="1080"/>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10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表3</w:t>
            </w:r>
          </w:p>
        </w:tc>
        <w:tc>
          <w:tcPr>
            <w:tcW w:w="3645" w:type="dxa"/>
            <w:tcBorders>
              <w:top w:val="nil"/>
              <w:left w:val="nil"/>
              <w:bottom w:val="nil"/>
              <w:right w:val="nil"/>
            </w:tcBorders>
            <w:shd w:val="clear" w:color="auto" w:fill="auto"/>
            <w:vAlign w:val="bottom"/>
          </w:tcPr>
          <w:p>
            <w:pPr>
              <w:jc w:val="both"/>
              <w:rPr>
                <w:rFonts w:hint="default" w:ascii="Times New Roman" w:hAnsi="Times New Roman" w:eastAsia="宋体" w:cs="Times New Roman"/>
                <w:i w:val="0"/>
                <w:iCs w:val="0"/>
                <w:color w:val="000000"/>
                <w:sz w:val="24"/>
                <w:szCs w:val="24"/>
                <w:u w:val="none"/>
              </w:rPr>
            </w:pPr>
          </w:p>
        </w:tc>
        <w:tc>
          <w:tcPr>
            <w:tcW w:w="1080" w:type="dxa"/>
            <w:tcBorders>
              <w:top w:val="nil"/>
              <w:left w:val="nil"/>
              <w:bottom w:val="nil"/>
              <w:right w:val="nil"/>
            </w:tcBorders>
            <w:shd w:val="clear" w:color="auto" w:fill="auto"/>
            <w:vAlign w:val="bottom"/>
          </w:tcPr>
          <w:p>
            <w:pPr>
              <w:jc w:val="center"/>
              <w:rPr>
                <w:rFonts w:hint="default" w:ascii="Times New Roman" w:hAnsi="Times New Roman" w:eastAsia="宋体" w:cs="Times New Roman"/>
                <w:i w:val="0"/>
                <w:iCs w:val="0"/>
                <w:color w:val="000000"/>
                <w:sz w:val="24"/>
                <w:szCs w:val="24"/>
                <w:u w:val="none"/>
              </w:rPr>
            </w:pPr>
          </w:p>
        </w:tc>
        <w:tc>
          <w:tcPr>
            <w:tcW w:w="1080" w:type="dxa"/>
            <w:tcBorders>
              <w:top w:val="nil"/>
              <w:left w:val="nil"/>
              <w:bottom w:val="nil"/>
              <w:right w:val="nil"/>
            </w:tcBorders>
            <w:shd w:val="clear" w:color="auto" w:fill="auto"/>
            <w:vAlign w:val="bottom"/>
          </w:tcPr>
          <w:p>
            <w:pPr>
              <w:jc w:val="center"/>
              <w:rPr>
                <w:rFonts w:hint="default" w:ascii="Times New Roman" w:hAnsi="Times New Roman" w:eastAsia="宋体" w:cs="Times New Roman"/>
                <w:i w:val="0"/>
                <w:iCs w:val="0"/>
                <w:color w:val="000000"/>
                <w:sz w:val="24"/>
                <w:szCs w:val="24"/>
                <w:u w:val="none"/>
              </w:rPr>
            </w:pPr>
          </w:p>
        </w:tc>
        <w:tc>
          <w:tcPr>
            <w:tcW w:w="1275" w:type="dxa"/>
            <w:tcBorders>
              <w:top w:val="nil"/>
              <w:left w:val="nil"/>
              <w:bottom w:val="nil"/>
              <w:right w:val="nil"/>
            </w:tcBorders>
            <w:shd w:val="clear" w:color="auto" w:fill="auto"/>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16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2025年泽普县本级一般公共预算收入表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80" w:type="dxa"/>
            <w:tcBorders>
              <w:top w:val="nil"/>
              <w:left w:val="nil"/>
              <w:bottom w:val="single" w:color="auto" w:sz="4" w:space="0"/>
              <w:right w:val="nil"/>
            </w:tcBorders>
            <w:shd w:val="clear" w:color="auto" w:fill="auto"/>
            <w:vAlign w:val="bottom"/>
          </w:tcPr>
          <w:p>
            <w:pPr>
              <w:jc w:val="center"/>
              <w:rPr>
                <w:rFonts w:hint="default" w:ascii="Times New Roman" w:hAnsi="Times New Roman" w:eastAsia="宋体" w:cs="Times New Roman"/>
                <w:i w:val="0"/>
                <w:iCs w:val="0"/>
                <w:color w:val="000000"/>
                <w:sz w:val="11"/>
                <w:szCs w:val="11"/>
                <w:u w:val="none"/>
              </w:rPr>
            </w:pPr>
          </w:p>
        </w:tc>
        <w:tc>
          <w:tcPr>
            <w:tcW w:w="3645" w:type="dxa"/>
            <w:tcBorders>
              <w:top w:val="nil"/>
              <w:left w:val="nil"/>
              <w:bottom w:val="single" w:color="auto" w:sz="4" w:space="0"/>
              <w:right w:val="nil"/>
            </w:tcBorders>
            <w:shd w:val="clear" w:color="auto" w:fill="FFFFFF"/>
            <w:vAlign w:val="bottom"/>
          </w:tcPr>
          <w:p>
            <w:pPr>
              <w:jc w:val="center"/>
              <w:rPr>
                <w:rFonts w:hint="default" w:ascii="Times New Roman" w:hAnsi="Times New Roman" w:eastAsia="宋体" w:cs="Times New Roman"/>
                <w:i w:val="0"/>
                <w:iCs w:val="0"/>
                <w:color w:val="000000"/>
                <w:sz w:val="11"/>
                <w:szCs w:val="11"/>
                <w:u w:val="none"/>
              </w:rPr>
            </w:pPr>
          </w:p>
        </w:tc>
        <w:tc>
          <w:tcPr>
            <w:tcW w:w="1080" w:type="dxa"/>
            <w:tcBorders>
              <w:top w:val="nil"/>
              <w:left w:val="nil"/>
              <w:bottom w:val="single" w:color="auto" w:sz="4" w:space="0"/>
              <w:right w:val="nil"/>
            </w:tcBorders>
            <w:shd w:val="clear" w:color="auto" w:fill="FFFFFF"/>
            <w:vAlign w:val="bottom"/>
          </w:tcPr>
          <w:p>
            <w:pPr>
              <w:jc w:val="center"/>
              <w:rPr>
                <w:rFonts w:hint="default" w:ascii="Times New Roman" w:hAnsi="Times New Roman" w:eastAsia="宋体" w:cs="Times New Roman"/>
                <w:i w:val="0"/>
                <w:iCs w:val="0"/>
                <w:color w:val="000000"/>
                <w:sz w:val="11"/>
                <w:szCs w:val="11"/>
                <w:u w:val="none"/>
              </w:rPr>
            </w:pPr>
          </w:p>
        </w:tc>
        <w:tc>
          <w:tcPr>
            <w:tcW w:w="1080" w:type="dxa"/>
            <w:tcBorders>
              <w:top w:val="nil"/>
              <w:left w:val="nil"/>
              <w:bottom w:val="single" w:color="auto" w:sz="4" w:space="0"/>
              <w:right w:val="nil"/>
            </w:tcBorders>
            <w:shd w:val="clear" w:color="auto" w:fill="FFFFFF"/>
            <w:vAlign w:val="bottom"/>
          </w:tcPr>
          <w:p>
            <w:pPr>
              <w:jc w:val="center"/>
              <w:rPr>
                <w:rFonts w:hint="default" w:ascii="Times New Roman" w:hAnsi="Times New Roman" w:eastAsia="宋体" w:cs="Times New Roman"/>
                <w:i w:val="0"/>
                <w:iCs w:val="0"/>
                <w:color w:val="000000"/>
                <w:sz w:val="11"/>
                <w:szCs w:val="11"/>
                <w:u w:val="none"/>
              </w:rPr>
            </w:pPr>
          </w:p>
        </w:tc>
        <w:tc>
          <w:tcPr>
            <w:tcW w:w="1275" w:type="dxa"/>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80" w:type="dxa"/>
            <w:tcBorders>
              <w:top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科目编码</w:t>
            </w:r>
          </w:p>
        </w:tc>
        <w:tc>
          <w:tcPr>
            <w:tcW w:w="3645" w:type="dxa"/>
            <w:tcBorders>
              <w:top w:val="single" w:color="auto"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项   目</w:t>
            </w:r>
          </w:p>
        </w:tc>
        <w:tc>
          <w:tcPr>
            <w:tcW w:w="1080" w:type="dxa"/>
            <w:tcBorders>
              <w:top w:val="single" w:color="auto"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2024年预算数</w:t>
            </w:r>
          </w:p>
        </w:tc>
        <w:tc>
          <w:tcPr>
            <w:tcW w:w="1080" w:type="dxa"/>
            <w:tcBorders>
              <w:top w:val="single" w:color="auto"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2025年预算数</w:t>
            </w:r>
          </w:p>
        </w:tc>
        <w:tc>
          <w:tcPr>
            <w:tcW w:w="1275" w:type="dxa"/>
            <w:tcBorders>
              <w:top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比上年预算数增 (减)%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bCs/>
                <w:i w:val="0"/>
                <w:iCs w:val="0"/>
                <w:color w:val="000000"/>
                <w:kern w:val="0"/>
                <w:sz w:val="22"/>
                <w:szCs w:val="22"/>
                <w:u w:val="none"/>
                <w:lang w:val="en-US" w:eastAsia="zh-CN" w:bidi="ar"/>
              </w:rPr>
              <w:t>税收收入</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23236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17369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增值税</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7799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4324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企业所得税</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1501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825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个人所得税</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3729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1270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资源税</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城市维护建设税</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778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825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房产税</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728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760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10111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印花税</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10112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城镇土地使用税</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5231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5387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10113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土地增值税</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1558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10114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车船税</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1128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1276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10118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耕地占用税</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442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10119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契税</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690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10120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烟叶税</w:t>
            </w:r>
          </w:p>
        </w:tc>
        <w:tc>
          <w:tcPr>
            <w:tcW w:w="0" w:type="auto"/>
            <w:shd w:val="clear" w:color="auto" w:fill="auto"/>
            <w:noWrap/>
            <w:vAlign w:val="bottom"/>
          </w:tcPr>
          <w:p>
            <w:pPr>
              <w:jc w:val="both"/>
              <w:rPr>
                <w:rFonts w:hint="default" w:ascii="Times New Roman" w:hAnsi="Times New Roman" w:eastAsia="宋体" w:cs="Times New Roman"/>
                <w:i w:val="0"/>
                <w:iCs w:val="0"/>
                <w:color w:val="000000"/>
                <w:sz w:val="22"/>
                <w:szCs w:val="22"/>
                <w:u w:val="none"/>
              </w:rPr>
            </w:pPr>
          </w:p>
        </w:tc>
        <w:tc>
          <w:tcPr>
            <w:tcW w:w="0" w:type="auto"/>
            <w:shd w:val="clear" w:color="auto" w:fill="auto"/>
            <w:noWrap/>
            <w:vAlign w:val="bottom"/>
          </w:tcPr>
          <w:p>
            <w:pPr>
              <w:jc w:val="both"/>
              <w:rPr>
                <w:rFonts w:hint="default" w:ascii="Times New Roman" w:hAnsi="Times New Roman" w:eastAsia="宋体" w:cs="Times New Roman"/>
                <w:i w:val="0"/>
                <w:iCs w:val="0"/>
                <w:color w:val="000000"/>
                <w:sz w:val="22"/>
                <w:szCs w:val="22"/>
                <w:u w:val="none"/>
              </w:rPr>
            </w:pPr>
          </w:p>
        </w:tc>
        <w:tc>
          <w:tcPr>
            <w:tcW w:w="0" w:type="auto"/>
            <w:shd w:val="clear" w:color="auto" w:fill="auto"/>
            <w:noWrap/>
            <w:vAlign w:val="bottom"/>
          </w:tcPr>
          <w:p>
            <w:pPr>
              <w:jc w:val="both"/>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10121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环境保护税</w:t>
            </w:r>
          </w:p>
        </w:tc>
        <w:tc>
          <w:tcPr>
            <w:tcW w:w="0" w:type="auto"/>
            <w:shd w:val="clear" w:color="auto" w:fill="auto"/>
            <w:noWrap/>
            <w:vAlign w:val="bottom"/>
          </w:tcPr>
          <w:p>
            <w:pPr>
              <w:jc w:val="both"/>
              <w:rPr>
                <w:rFonts w:hint="default" w:ascii="Times New Roman" w:hAnsi="Times New Roman" w:eastAsia="宋体" w:cs="Times New Roman"/>
                <w:i w:val="0"/>
                <w:iCs w:val="0"/>
                <w:color w:val="000000"/>
                <w:sz w:val="22"/>
                <w:szCs w:val="22"/>
                <w:u w:val="none"/>
              </w:rPr>
            </w:pPr>
          </w:p>
        </w:tc>
        <w:tc>
          <w:tcPr>
            <w:tcW w:w="0" w:type="auto"/>
            <w:shd w:val="clear" w:color="auto" w:fill="auto"/>
            <w:noWrap/>
            <w:vAlign w:val="bottom"/>
          </w:tcPr>
          <w:p>
            <w:pPr>
              <w:jc w:val="both"/>
              <w:rPr>
                <w:rFonts w:hint="default" w:ascii="Times New Roman" w:hAnsi="Times New Roman" w:eastAsia="宋体" w:cs="Times New Roman"/>
                <w:i w:val="0"/>
                <w:iCs w:val="0"/>
                <w:color w:val="000000"/>
                <w:sz w:val="22"/>
                <w:szCs w:val="22"/>
                <w:u w:val="none"/>
              </w:rPr>
            </w:pPr>
          </w:p>
        </w:tc>
        <w:tc>
          <w:tcPr>
            <w:tcW w:w="0" w:type="auto"/>
            <w:shd w:val="clear" w:color="auto" w:fill="auto"/>
            <w:noWrap/>
            <w:vAlign w:val="bottom"/>
          </w:tcPr>
          <w:p>
            <w:pPr>
              <w:jc w:val="both"/>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其他税收收入</w:t>
            </w:r>
          </w:p>
        </w:tc>
        <w:tc>
          <w:tcPr>
            <w:tcW w:w="0" w:type="auto"/>
            <w:shd w:val="clear" w:color="auto" w:fill="auto"/>
            <w:noWrap/>
            <w:vAlign w:val="bottom"/>
          </w:tcPr>
          <w:p>
            <w:pPr>
              <w:jc w:val="both"/>
              <w:rPr>
                <w:rFonts w:hint="default" w:ascii="Times New Roman" w:hAnsi="Times New Roman" w:eastAsia="宋体" w:cs="Times New Roman"/>
                <w:i w:val="0"/>
                <w:iCs w:val="0"/>
                <w:color w:val="000000"/>
                <w:sz w:val="22"/>
                <w:szCs w:val="22"/>
                <w:u w:val="none"/>
              </w:rPr>
            </w:pPr>
          </w:p>
        </w:tc>
        <w:tc>
          <w:tcPr>
            <w:tcW w:w="0" w:type="auto"/>
            <w:shd w:val="clear" w:color="auto" w:fill="auto"/>
            <w:noWrap/>
            <w:vAlign w:val="bottom"/>
          </w:tcPr>
          <w:p>
            <w:pPr>
              <w:jc w:val="both"/>
              <w:rPr>
                <w:rFonts w:hint="default" w:ascii="Times New Roman" w:hAnsi="Times New Roman" w:eastAsia="宋体" w:cs="Times New Roman"/>
                <w:i w:val="0"/>
                <w:iCs w:val="0"/>
                <w:color w:val="000000"/>
                <w:sz w:val="22"/>
                <w:szCs w:val="22"/>
                <w:u w:val="none"/>
              </w:rPr>
            </w:pPr>
          </w:p>
        </w:tc>
        <w:tc>
          <w:tcPr>
            <w:tcW w:w="0" w:type="auto"/>
            <w:shd w:val="clear" w:color="auto" w:fill="auto"/>
            <w:noWrap/>
            <w:vAlign w:val="bottom"/>
          </w:tcPr>
          <w:p>
            <w:pPr>
              <w:jc w:val="both"/>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bCs/>
                <w:i w:val="0"/>
                <w:iCs w:val="0"/>
                <w:color w:val="000000"/>
                <w:kern w:val="0"/>
                <w:sz w:val="22"/>
                <w:szCs w:val="22"/>
                <w:u w:val="none"/>
                <w:lang w:val="en-US" w:eastAsia="zh-CN" w:bidi="ar"/>
              </w:rPr>
              <w:t>非税收入</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11370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10691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专项收入</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931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1084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行政事业性收费收入</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668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罚没收入</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1204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1115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国有资本经营收入</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0" w:type="auto"/>
            <w:shd w:val="clear" w:color="auto" w:fill="auto"/>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国有资源（资产）有偿使用收入</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4217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5791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捐赠收入</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2995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1588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政府住房基金收入</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1350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其他收入</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0" w:type="auto"/>
            <w:gridSpan w:val="2"/>
            <w:shd w:val="clear" w:color="auto" w:fill="FFFFFF"/>
            <w:noWrap/>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bCs/>
                <w:i w:val="0"/>
                <w:iCs w:val="0"/>
                <w:color w:val="000000"/>
                <w:kern w:val="0"/>
                <w:sz w:val="22"/>
                <w:szCs w:val="22"/>
                <w:u w:val="none"/>
                <w:lang w:val="en-US" w:eastAsia="zh-CN" w:bidi="ar"/>
              </w:rPr>
              <w:t>收入总计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20"/>
                <w:szCs w:val="20"/>
                <w:u w:val="none"/>
                <w:lang w:val="en-US" w:eastAsia="zh-CN" w:bidi="ar"/>
              </w:rPr>
            </w:pPr>
            <w:r>
              <w:rPr>
                <w:rFonts w:hint="default" w:ascii="Times New Roman" w:hAnsi="Times New Roman" w:eastAsia="宋体" w:cs="Times New Roman"/>
                <w:b/>
                <w:bCs/>
                <w:i w:val="0"/>
                <w:iCs w:val="0"/>
                <w:color w:val="000000"/>
                <w:kern w:val="0"/>
                <w:sz w:val="20"/>
                <w:szCs w:val="20"/>
                <w:u w:val="none"/>
                <w:lang w:val="en-US" w:eastAsia="zh-CN" w:bidi="ar"/>
              </w:rPr>
              <w:t>34606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20"/>
                <w:szCs w:val="20"/>
                <w:u w:val="none"/>
                <w:lang w:val="en-US" w:eastAsia="zh-CN" w:bidi="ar"/>
              </w:rPr>
            </w:pPr>
            <w:r>
              <w:rPr>
                <w:rFonts w:hint="default" w:ascii="Times New Roman" w:hAnsi="Times New Roman" w:eastAsia="宋体" w:cs="Times New Roman"/>
                <w:b/>
                <w:bCs/>
                <w:i w:val="0"/>
                <w:iCs w:val="0"/>
                <w:color w:val="000000"/>
                <w:kern w:val="0"/>
                <w:sz w:val="20"/>
                <w:szCs w:val="20"/>
                <w:u w:val="none"/>
                <w:lang w:val="en-US" w:eastAsia="zh-CN" w:bidi="ar"/>
              </w:rPr>
              <w:t>28060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20"/>
                <w:szCs w:val="20"/>
                <w:u w:val="none"/>
                <w:lang w:val="en-US" w:eastAsia="zh-CN" w:bidi="ar"/>
              </w:rPr>
            </w:pPr>
            <w:r>
              <w:rPr>
                <w:rFonts w:hint="default" w:ascii="Times New Roman" w:hAnsi="Times New Roman" w:eastAsia="宋体" w:cs="Times New Roman"/>
                <w:b/>
                <w:bCs/>
                <w:i w:val="0"/>
                <w:iCs w:val="0"/>
                <w:color w:val="000000"/>
                <w:kern w:val="0"/>
                <w:sz w:val="20"/>
                <w:szCs w:val="20"/>
                <w:u w:val="none"/>
                <w:lang w:val="en-US" w:eastAsia="zh-CN" w:bidi="ar"/>
              </w:rPr>
              <w:t>-18.9%</w:t>
            </w:r>
          </w:p>
        </w:tc>
      </w:tr>
    </w:tbl>
    <w:p>
      <w:pPr>
        <w:pStyle w:val="2"/>
        <w:rPr>
          <w:rFonts w:hint="default" w:ascii="Times New Roman" w:hAnsi="Times New Roman" w:cs="Times New Roman"/>
        </w:rPr>
      </w:pPr>
    </w:p>
    <w:tbl>
      <w:tblPr>
        <w:tblStyle w:val="8"/>
        <w:tblW w:w="91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042"/>
        <w:gridCol w:w="4547"/>
        <w:gridCol w:w="1080"/>
        <w:gridCol w:w="1080"/>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1080" w:type="dxa"/>
            <w:tcBorders>
              <w:top w:val="nil"/>
              <w:left w:val="nil"/>
              <w:bottom w:val="nil"/>
              <w:right w:val="nil"/>
            </w:tcBorders>
            <w:shd w:val="clear" w:color="auto" w:fill="auto"/>
            <w:vAlign w:val="center"/>
          </w:tcPr>
          <w:p>
            <w:pPr>
              <w:rPr>
                <w:rFonts w:hint="default" w:ascii="Times New Roman" w:hAnsi="Times New Roman" w:eastAsia="宋体" w:cs="Times New Roman"/>
                <w:i w:val="0"/>
                <w:iCs w:val="0"/>
                <w:color w:val="000000"/>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表</w:t>
            </w:r>
            <w:r>
              <w:rPr>
                <w:rFonts w:hint="eastAsia" w:cs="Times New Roman"/>
                <w:i w:val="0"/>
                <w:iCs w:val="0"/>
                <w:color w:val="000000"/>
                <w:kern w:val="0"/>
                <w:sz w:val="20"/>
                <w:szCs w:val="20"/>
                <w:u w:val="none"/>
                <w:lang w:val="en-US" w:eastAsia="zh-CN" w:bidi="ar"/>
              </w:rPr>
              <w:t>4</w:t>
            </w:r>
          </w:p>
        </w:tc>
        <w:tc>
          <w:tcPr>
            <w:tcW w:w="4650" w:type="dxa"/>
            <w:tcBorders>
              <w:top w:val="nil"/>
              <w:left w:val="nil"/>
              <w:bottom w:val="nil"/>
              <w:right w:val="nil"/>
            </w:tcBorders>
            <w:shd w:val="clear" w:color="auto" w:fill="auto"/>
            <w:vAlign w:val="bottom"/>
          </w:tcPr>
          <w:p>
            <w:pPr>
              <w:jc w:val="both"/>
              <w:rPr>
                <w:rFonts w:hint="default" w:ascii="Times New Roman" w:hAnsi="Times New Roman" w:eastAsia="宋体" w:cs="Times New Roman"/>
                <w:i w:val="0"/>
                <w:iCs w:val="0"/>
                <w:color w:val="000000"/>
                <w:sz w:val="24"/>
                <w:szCs w:val="24"/>
                <w:u w:val="none"/>
              </w:rPr>
            </w:pPr>
          </w:p>
        </w:tc>
        <w:tc>
          <w:tcPr>
            <w:tcW w:w="1080" w:type="dxa"/>
            <w:tcBorders>
              <w:top w:val="nil"/>
              <w:left w:val="nil"/>
              <w:bottom w:val="nil"/>
              <w:right w:val="nil"/>
            </w:tcBorders>
            <w:shd w:val="clear" w:color="auto" w:fill="auto"/>
            <w:noWrap/>
            <w:vAlign w:val="bottom"/>
          </w:tcPr>
          <w:p>
            <w:pPr>
              <w:jc w:val="both"/>
              <w:rPr>
                <w:rFonts w:hint="default" w:ascii="Times New Roman" w:hAnsi="Times New Roman" w:eastAsia="宋体" w:cs="Times New Roman"/>
                <w:i w:val="0"/>
                <w:iCs w:val="0"/>
                <w:color w:val="000000"/>
                <w:sz w:val="24"/>
                <w:szCs w:val="24"/>
                <w:u w:val="none"/>
              </w:rPr>
            </w:pPr>
          </w:p>
        </w:tc>
        <w:tc>
          <w:tcPr>
            <w:tcW w:w="1080" w:type="dxa"/>
            <w:tcBorders>
              <w:top w:val="nil"/>
              <w:left w:val="nil"/>
              <w:bottom w:val="nil"/>
              <w:right w:val="nil"/>
            </w:tcBorders>
            <w:shd w:val="clear" w:color="auto" w:fill="auto"/>
            <w:noWrap/>
            <w:vAlign w:val="bottom"/>
          </w:tcPr>
          <w:p>
            <w:pPr>
              <w:jc w:val="both"/>
              <w:rPr>
                <w:rFonts w:hint="default" w:ascii="Times New Roman" w:hAnsi="Times New Roman" w:eastAsia="宋体" w:cs="Times New Roman"/>
                <w:i w:val="0"/>
                <w:iCs w:val="0"/>
                <w:color w:val="000000"/>
                <w:sz w:val="24"/>
                <w:szCs w:val="24"/>
                <w:u w:val="none"/>
              </w:rPr>
            </w:pPr>
          </w:p>
        </w:tc>
        <w:tc>
          <w:tcPr>
            <w:tcW w:w="1275" w:type="dxa"/>
            <w:tcBorders>
              <w:top w:val="nil"/>
              <w:left w:val="nil"/>
              <w:bottom w:val="nil"/>
              <w:right w:val="nil"/>
            </w:tcBorders>
            <w:shd w:val="clear" w:color="auto" w:fill="auto"/>
            <w:noWrap/>
            <w:vAlign w:val="bottom"/>
          </w:tcPr>
          <w:p>
            <w:pPr>
              <w:jc w:val="both"/>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165"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2025年泽普县</w:t>
            </w:r>
            <w:r>
              <w:rPr>
                <w:rFonts w:hint="eastAsia" w:cs="Times New Roman"/>
                <w:b/>
                <w:bCs/>
                <w:i w:val="0"/>
                <w:iCs w:val="0"/>
                <w:color w:val="000000"/>
                <w:kern w:val="0"/>
                <w:sz w:val="20"/>
                <w:szCs w:val="20"/>
                <w:u w:val="none"/>
                <w:lang w:val="en-US" w:eastAsia="zh-CN" w:bidi="ar"/>
              </w:rPr>
              <w:t>本级</w:t>
            </w:r>
            <w:r>
              <w:rPr>
                <w:rFonts w:hint="default" w:ascii="Times New Roman" w:hAnsi="Times New Roman" w:eastAsia="宋体" w:cs="Times New Roman"/>
                <w:b/>
                <w:bCs/>
                <w:i w:val="0"/>
                <w:iCs w:val="0"/>
                <w:color w:val="000000"/>
                <w:kern w:val="0"/>
                <w:sz w:val="20"/>
                <w:szCs w:val="20"/>
                <w:u w:val="none"/>
                <w:lang w:val="en-US" w:eastAsia="zh-CN" w:bidi="ar"/>
              </w:rPr>
              <w:t>一般公共预算支出表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080" w:type="dxa"/>
            <w:tcBorders>
              <w:top w:val="nil"/>
              <w:left w:val="nil"/>
              <w:bottom w:val="single" w:color="auto" w:sz="4" w:space="0"/>
              <w:right w:val="nil"/>
            </w:tcBorders>
            <w:shd w:val="clear" w:color="auto" w:fill="auto"/>
            <w:vAlign w:val="bottom"/>
          </w:tcPr>
          <w:p>
            <w:pPr>
              <w:jc w:val="both"/>
              <w:rPr>
                <w:rFonts w:hint="default" w:ascii="Times New Roman" w:hAnsi="Times New Roman" w:eastAsia="宋体" w:cs="Times New Roman"/>
                <w:i w:val="0"/>
                <w:iCs w:val="0"/>
                <w:color w:val="000000"/>
                <w:sz w:val="24"/>
                <w:szCs w:val="24"/>
                <w:u w:val="none"/>
              </w:rPr>
            </w:pPr>
          </w:p>
        </w:tc>
        <w:tc>
          <w:tcPr>
            <w:tcW w:w="4650" w:type="dxa"/>
            <w:tcBorders>
              <w:top w:val="nil"/>
              <w:left w:val="nil"/>
              <w:bottom w:val="single" w:color="auto" w:sz="4" w:space="0"/>
              <w:right w:val="nil"/>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c>
          <w:tcPr>
            <w:tcW w:w="0" w:type="auto"/>
            <w:tcBorders>
              <w:top w:val="nil"/>
              <w:left w:val="nil"/>
              <w:bottom w:val="single" w:color="auto" w:sz="4" w:space="0"/>
              <w:right w:val="nil"/>
            </w:tcBorders>
            <w:shd w:val="clear" w:color="auto" w:fill="auto"/>
            <w:noWrap/>
            <w:vAlign w:val="bottom"/>
          </w:tcPr>
          <w:p>
            <w:pPr>
              <w:jc w:val="both"/>
              <w:rPr>
                <w:rFonts w:hint="default" w:ascii="Times New Roman" w:hAnsi="Times New Roman" w:eastAsia="宋体" w:cs="Times New Roman"/>
                <w:i w:val="0"/>
                <w:iCs w:val="0"/>
                <w:color w:val="000000"/>
                <w:sz w:val="24"/>
                <w:szCs w:val="24"/>
                <w:u w:val="none"/>
              </w:rPr>
            </w:pPr>
          </w:p>
        </w:tc>
        <w:tc>
          <w:tcPr>
            <w:tcW w:w="0" w:type="auto"/>
            <w:tcBorders>
              <w:top w:val="nil"/>
              <w:left w:val="nil"/>
              <w:bottom w:val="single" w:color="auto" w:sz="4" w:space="0"/>
              <w:right w:val="nil"/>
            </w:tcBorders>
            <w:shd w:val="clear" w:color="auto" w:fill="auto"/>
            <w:noWrap/>
            <w:vAlign w:val="bottom"/>
          </w:tcPr>
          <w:p>
            <w:pPr>
              <w:jc w:val="both"/>
              <w:rPr>
                <w:rFonts w:hint="default" w:ascii="Times New Roman" w:hAnsi="Times New Roman" w:eastAsia="宋体" w:cs="Times New Roman"/>
                <w:i w:val="0"/>
                <w:iCs w:val="0"/>
                <w:color w:val="000000"/>
                <w:sz w:val="24"/>
                <w:szCs w:val="24"/>
                <w:u w:val="none"/>
              </w:rPr>
            </w:pPr>
          </w:p>
        </w:tc>
        <w:tc>
          <w:tcPr>
            <w:tcW w:w="0" w:type="auto"/>
            <w:tcBorders>
              <w:top w:val="nil"/>
              <w:left w:val="nil"/>
              <w:bottom w:val="single" w:color="auto" w:sz="4" w:space="0"/>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80" w:type="dxa"/>
            <w:tcBorders>
              <w:top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科目编码</w:t>
            </w:r>
          </w:p>
        </w:tc>
        <w:tc>
          <w:tcPr>
            <w:tcW w:w="4650" w:type="dxa"/>
            <w:tcBorders>
              <w:top w:val="single" w:color="auto"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项   目</w:t>
            </w:r>
          </w:p>
        </w:tc>
        <w:tc>
          <w:tcPr>
            <w:tcW w:w="1080" w:type="dxa"/>
            <w:tcBorders>
              <w:top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2024年预算数</w:t>
            </w:r>
          </w:p>
        </w:tc>
        <w:tc>
          <w:tcPr>
            <w:tcW w:w="1080" w:type="dxa"/>
            <w:tcBorders>
              <w:top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2025年预算数</w:t>
            </w:r>
          </w:p>
        </w:tc>
        <w:tc>
          <w:tcPr>
            <w:tcW w:w="1275" w:type="dxa"/>
            <w:tcBorders>
              <w:top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比上年预算数增 (减)%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一般公共服务支出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32641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33435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人大事务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400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441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380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411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人大会议</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人大立法</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人大监督</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人大代表履职能力提升</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代表工作</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人大信访工作</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其他人大事务支出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政协事务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287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335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272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330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2010202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2010203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2010204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政协会议</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2010205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委员视察</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2010206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参政议政</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2010250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2010299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其他政协事务支出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政府办公厅（室）及相关机构事务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20074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18374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20074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18266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2010302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2010303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2010304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专项服务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2010305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专项业务及机关事务管理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2010306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政务公开审批</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2010309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参事事务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2010350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108</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2010399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其他政府办公厅（室）及相关机构事务支出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发展与改革事务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246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400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245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399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战略规划与实施</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日常经济运行调节</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社会事业发展规划</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经济体制改革研究</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物价管理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其他发展与改革事务支出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统计信息事务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信息事务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专项统计业务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统计管理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专项普查活动</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统计抽样调查</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其他统计信息事务支出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财政事务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838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889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838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889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预算改革业务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财政国库业务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财政监察</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信息化建设</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财政委托业务支出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其他财政事务支出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税收事务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2010701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2010702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2010703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2010709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信息化建设</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2010710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税收业务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2010750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2010799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其他税收事务支出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审计事务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195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2010801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195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2010802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2010803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2010804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审计业务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2010805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审计管理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2010806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信息化建设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2010850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2010899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其他审计事务支出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海关事务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缉私办案</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口岸管理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信息化建设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海关关务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关税征管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2010911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海关监管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2010912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检验检疫</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其他海关事务支出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纪检监察事务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1277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1476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1277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1476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2011104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大案要案查处</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2011105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派驻派出机构</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2011106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巡视工作</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2011150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其他纪检监察事务支出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商贸事务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401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538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对外贸易管理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国际经济合作</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外资管理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国内贸易管理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招商引资</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249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417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其他商贸事务支出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知识产权事务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专利审批</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知识产权战略和规划</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国际合作与交流</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知识产权宏观管理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商标管理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2011411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原产地地理标志管理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其他知识产权事务支出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民族事务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2012302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2012303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2012304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民族工作专项</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2012350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2012399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其他民族事务支出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港澳台事务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2012501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2012502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2012503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2012504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港澳事务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2012505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台湾事务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2012550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2012599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其他港澳台事务支出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档案事务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2012601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2012602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2012603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2012604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档案馆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2012699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其他档案事务支出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民主党派及工商联事务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2012801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2012802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2012803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2012804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参政议政</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2012850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2012899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其他民主党派及工商联事务支出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群众团体事务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823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2012901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2012902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822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2012903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2012906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工会事务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2012950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其他群众团体事务支出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党委办公厅（室）及相关机构事务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1977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1601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1969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1601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2013105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专项业务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2013150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其他党委办公厅（室）及相关机构事务支出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组织事务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4525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5839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4517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5461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2013202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2013203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2013204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公务员事务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2013250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2013299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其他组织事务支出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378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4625.0%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宣传事务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2013302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2013303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2013304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宣传管理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2013350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2013399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其他宣传事务支出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统战事务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878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854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2013401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365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423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2013402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2013403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2013404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宗教事务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513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431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2013405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华侨事务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2013450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2013499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其他统战事务支出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对外联络事务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2013501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2013502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2013503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2013550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2013599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其他对外联络事务支出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其他共产党事务支出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524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2013601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524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2013602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2013603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2013650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2013699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其他共产党事务支出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网信事务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2013701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2013702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2013703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2013704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信息安全事务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2013750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2013799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其他网信事务支出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市场监督管理事务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575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570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575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经营主体管理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市场秩序执法</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信息化建设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质量基础</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2013812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药品事务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2013813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医疗器械事务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2013814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化妆品事务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2013815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质量安全监管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2013816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食品安全监管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其他市场监督管理事务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社会工作事务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2013901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178</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2013902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2013903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2013904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专项业务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2013950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其他社会工作事务支出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信访事务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2014001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2014002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2014003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2014004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信访业务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2014050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2014099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其他信访事务支出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数据事务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2014150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其他数据事务支出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其他一般公共服务支出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2019901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国家赔偿费用支出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2019999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其他一般公共服务支出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33</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外交支出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外交管理事务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2020104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专项业务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2020150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其他外交管理事务支出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驻外机构</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驻外使领馆（团、处）</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2020202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其他驻外机构支出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对外援助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2020304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援外优惠贷款贴息</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2020306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对外援助</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国际组织</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2020401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国际组织会费</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2020402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国际组织捐赠</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2020403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维和摊款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2020404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国际组织股金及基金</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2020499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其他国际组织支出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对外合作与交流</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2020503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在华国际会议</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2020504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国际交流活动</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2020505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对外合作活动</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2020599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其他对外合作与交流支出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对外宣传</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2020601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对外宣传</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边界勘界联检</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2020701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边界勘界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2020702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边界联检</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2020703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边界界桩维护</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2020799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国际发展合作</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2020801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2020802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2020803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2020850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2020899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其他国际发展合作支出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其他外交支出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2029999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其他外交支出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国防支出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军费</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现役部队</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预备役部队</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其他军费支出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国防科研事业</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2030401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国防科研事业</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专项工程</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2030501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专项工程</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国防动员</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2030601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兵役征集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2030602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经济动员</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2030603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人民防空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2030604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交通战备</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2030607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民兵</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2030608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边海防</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2030699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其他国防动员支出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其他国防支出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2039999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其他国防支出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公共安全支出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18295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18096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武装警察部队</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武装警察部队</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其他武装警察部队支出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公安</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15796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17147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15751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15077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2040219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信息化建设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2040220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执法办案</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2040221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特别业务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2040222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特勤业务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2040223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移民事务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其他公安支出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2020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4388.9%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国家安全</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2040302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2040303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2040304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安全业务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2040350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2040399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其他国家安全支出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检察</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2040401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2040402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2040403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2040409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“两房”建设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2040410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检察监督</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2040450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2040499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其他检察支出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法院</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2040501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2040502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2040503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2040504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案件审判</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2040505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案件执行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2040506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“两庭”建设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2040550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2040599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其他法院支出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司法</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693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949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688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757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基层司法业务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普法宣传</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律师管理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公共法律服务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国家统一法律职业资格考试</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社区矫正</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2040612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法治建设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2040613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信息化建设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其他司法支出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192</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监狱</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2040701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2040702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2040703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2040704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罪犯生活及医疗卫生</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2040705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监狱业务及罪犯改造</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2040706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狱政设施建设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2040707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信息化建设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2040750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2040799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其他监狱支出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强制隔离戒毒</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2040801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2040802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2040803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2040804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强制隔离戒毒人员生活</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2040805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强制隔离戒毒人员教育</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2040806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所政设施建设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2040807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信息化建设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2040850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2040899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其他强制隔离戒毒支出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国家保密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2040901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2040902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2040903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2040904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保密技术</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2040905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保密管理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2040950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其他国家保密支出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缉私警察</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2041001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2041002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2041006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信息化建设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2041007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缉私业务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2041099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其他缉私警察支出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其他公共安全支出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1806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2049902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国家司法救助支出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2049999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其他公共安全支出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1806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教育支出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92459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104612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教育管理事务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721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615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721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615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其他教育管理事务支出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普通教育</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86812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95967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学前教育</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11765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15242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2050202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小学教育</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33073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37401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2050203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初中教育</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18208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26852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2050204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高中教育</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10743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8029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2050205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高等教育</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2050299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其他普通教育支出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13023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8443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职业教育</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4364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5568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初等职业教育</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2050302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中等职业教育</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3508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4181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2050303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技校教育</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856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1387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2050305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高等职业教育</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2050399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其他职业教育支出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成人教育</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2050401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成人初等教育</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2050402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成人中等教育</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2050403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成人高等教育</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2050404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成人广播电视教育</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2050499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其他成人教育支出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广播电视教育</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2050501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广播电视学校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2050502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教育电视台</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2050599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其他广播电视教育支出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留学教育</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2050601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出国留学教育</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2050602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来华留学教育</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2050699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其他留学教育支出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特殊教育</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2050701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特殊学校教育</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2050702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专门学校教育</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2050799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其他特殊教育支出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进修及培训</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394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425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2050801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教师进修</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2050802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干部教育</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394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425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2050803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培训支出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2050804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退役士兵能力提升</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2050899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其他进修及培训</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教育费附加安排的支出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2050901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农村中小学校舍建设</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2050902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农村中小学教学设施</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2050903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城市中小学校舍建设</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2050904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城市中小学教学设施</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2050905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中等职业学校教学设施</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其他教育费附加安排的支出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其他教育支出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2000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2059999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其他教育支出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2000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科学技术支出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科学技术管理事务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其他科学技术管理事务支出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基础研究</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机构运行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2060203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自然科学基金</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2060204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实验室及相关设施</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2060205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重大科学工程</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2060206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专项基础科研</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2060207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专项技术基础</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2060208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科技人才队伍建设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2060299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其他基础研究支出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应用研究</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机构运行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2060302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社会公益研究</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2060303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高技术研究</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2060304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专项科研试制</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2060399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其他应用研究支出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技术研究与开发</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2060401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机构运行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2060404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科技成果转化与扩散</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2060405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共性技术研究与开发</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2060499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其他技术研究与开发支出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科技条件与服务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2060501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机构运行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2060502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技术创新服务体系</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2060503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科技条件专项</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2060599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其他科技条件与服务支出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社会科学</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2060601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社会科学研究机构</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2060602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社会科学研究</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2060603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社科基金支出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2060699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其他社会科学支出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科学技术普及</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2060701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机构运行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2060702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科普活动</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2060703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青少年科技活动</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2060704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学术交流活动</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2060705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科技馆站</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2060799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其他科学技术普及支出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科技交流与合作</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2060801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国际交流与合作</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2060802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重大科技合作项目</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2060899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其他科技交流与合作支出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科技重大项目</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2060901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科技重大专项</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2060902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重点研发计划</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其他科技重大项目</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其他科学技术支出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2069901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科技奖励</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2069902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核应急</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2069903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转制科研机构</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2069999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其他科学技术支出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文化旅游体育与传媒支出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2440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2943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文化和旅游</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1859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1896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1243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1097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图书馆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文化展示及纪念机构</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艺术表演场所</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艺术表演团体</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文化活动</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群众文化</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文化和旅游交流与合作</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2070111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文化创作与保护</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2070112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文化和旅游市场管理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2070113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旅游宣传</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2070114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文化和旅游管理事务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616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656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其他文化和旅游支出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文物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2070202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2070203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2070204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文物保护</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2070205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博物馆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2070206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历史名城与古迹</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2070299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其他文物支出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体育</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运动项目管理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体育竞赛</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体育训练</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体育场馆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群众体育</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体育交流与合作</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其他体育支出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新闻出版电影</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2070601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2070602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2070603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2070604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新闻通讯</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2070605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出版发行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2070606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版权管理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2070607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电影</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2070699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其他新闻出版电影支出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广播电视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464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489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2070801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2070802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2070803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2070806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监测监管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2070807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传输发射</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2070808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广播电视事务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424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447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2070899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其他广播电视支出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其他文化旅游体育与传媒支出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523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570.5%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2079902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宣传文化发展专项支出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2079903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文化产业发展专项支出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2079999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其他文化旅游体育与传媒支出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523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570.5%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社会保障和就业支出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41180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30333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人力资源和社会保障管理事务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2413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959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1883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687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综合业务管理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劳动保障监察</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就业管理事务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社会保险业务管理事务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信息化建设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社会保险经办机构</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劳动关系和维权</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2080111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公共就业服务和职业技能鉴定机构</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2080112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劳动人事争议调解仲裁</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2080113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政府特殊津贴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2080114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资助留学回国人员</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2080115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博士后日常经费</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2080116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引进人才费用</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227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其他人力资源和社会保障管理事务支出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299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263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民政管理事务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299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1195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299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1195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2080202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2080203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2080206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社会组织管理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2080207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行政区划和地名管理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2080209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老龄事务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2080299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其他民政管理事务支出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补充全国社会保障基金</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2080402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用一般公共预算补充基金</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行政事业单位养老支出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15220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8900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2080501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行政单位离退休</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987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1276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2080502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事业单位离退休</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450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198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2080503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离退休人员管理机构</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2080505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机关事业单位基本养老保险缴费支出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13446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7052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2080506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机关事业单位职业年金缴费支出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337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374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2080507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对机关事业单位基本养老保险基金的补助</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2080508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对机关事业单位职业年金的补助</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2080599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其他行政事业单位养老支出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企业改革补助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2080601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企业关闭破产补助</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2080602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厂办大集体改革补助</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2080699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其他企业改革发展补助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就业补助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1342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1285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2080701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就业创业服务补助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2080702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职业培训补贴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246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2080704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社会保险补贴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2080705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公益性岗位补贴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1239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2080709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职业技能评价补贴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2080711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就业见习补贴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2080712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高技能人才培养补助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2080713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求职和创业补贴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2080799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其他就业补助支出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1029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899.0%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抚恤</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499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389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2080801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死亡抚恤</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333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2080802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伤残抚恤</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2080803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在乡复员、退伍军人生活补助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2080805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义务兵优待</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2080806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农村籍退役士兵老年生活补助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2080807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光荣院</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2080808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褒扬纪念</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2080899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其他优抚支出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332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249.5%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退役安置</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358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249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2080901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退役士兵安置</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2080902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军队移交政府的离退休人员安置</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2080903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军队移交政府离退休干部管理机构</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2080904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退役士兵管理教育</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2080905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军队转业干部安置</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227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191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其他退役安置支出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社会福利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2081001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儿童福利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2081002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老年福利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2081003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康复辅具</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2081004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殡葬</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2081005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社会福利事业单位</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2081006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养老服务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2081099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其他社会福利支出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残疾人事业</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1151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1288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212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2081104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残疾人康复</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2081105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残疾人就业</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2081106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残疾人体育</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2081107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残疾人生活和护理补贴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901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1046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其他残疾人事业支出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红十字事业</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2081601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2081602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2081603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2081650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2081699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其他红十字事业支出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最低生活保障</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14321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2081901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城市最低生活保障金支出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2081902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农村最低生活保障金支出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14321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临时救助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2082001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临时救助支出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2082002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流浪乞讨人员救助支出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特困人员救助供养</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城市特困人员救助供养支出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农村特困人员救助供养支出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补充道路交通事故社会救助基金</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2082401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对道路交通事故社会救助基金的补助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2082402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交强险罚款收入补助基金支出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其他生活救助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2082501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其他城市生活救助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2082502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其他农村生活救助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财政对基本养老保险基金的补助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3869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448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2082601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财政对企业职工基本养老保险基金的补助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2082602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财政对城乡居民基本养老保险基金的补助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3774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351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2082699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财政对其他基本养老保险基金的补助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财政对其他社会保险基金的补助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2082701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财政对失业保险基金的补助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2082702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财政对工伤保险基金的补助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2082799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其他财政对社会保险基金的补助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退役军人管理事务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2082801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2082802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2082803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2082804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拥军优属</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2082805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军供保障</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2082806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信息化建设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2082850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2082899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其他退役军人事务管理支出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20830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财政代缴社会保险费支出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2083001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财政代缴城乡居民基本养老保险费支出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2083099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财政代缴其他社会保险费支出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其他社会保障和就业支出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1511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15320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2089999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其他社会保障和就业支出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1511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15320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卫生健康支出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26710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21886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卫生健康管理事务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1285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2664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883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1860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其他卫生健康管理事务支出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402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804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公立医院</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9570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4423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综合医院</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7737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4277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中医（民族）医院</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1717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传染病医院</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职业病防治医院</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精神病医院</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妇幼保健医院</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儿童医院</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其他专科医院</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福利医院</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行业医院</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2100211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处理医疗欠费</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2100212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康复医院</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2100213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优抚医院</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其他公立医院支出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基层医疗卫生机构</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6593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5754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城市社区卫生机构</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2100302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乡镇卫生院</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6193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5530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2100399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其他基层医疗卫生机构支出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400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224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公共卫生</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5542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3804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疾病预防控制机构</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597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493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卫生监督机构</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妇幼保健机构</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272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8966.7%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精神卫生机构</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应急救治机构</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采供血机构</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其他专业公共卫生机构</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基本公共卫生服务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1669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1800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重大公共卫生服务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3178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突发公共卫生事件应急处置</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其他公共卫生支出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1050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计划生育事务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1874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4470.7%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2100716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计划生育机构</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2100717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计划生育服务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1874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4470.7%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2100799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其他计划生育事务支出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行政事业单位医疗</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3051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2878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行政单位医疗</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2521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2240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事业单位医疗</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公务员医疗补助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422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461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其他行政事业单位医疗支出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财政对基本医疗保险基金的补助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财政对职工基本医疗保险基金的补助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2101202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财政对城乡居民基本医疗保险基金的补助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2101299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财政对其他基本医疗保险基金的补助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医疗救助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城乡医疗救助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2101302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疾病应急救助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2101399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其他医疗救助支出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优抚对象医疗</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2101401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优抚对象医疗补助</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2101499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其他优抚对象医疗支出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医疗保障管理事务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223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485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2101501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461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2101502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2101503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2101504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信息化建设</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2101505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医疗保障政策管理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2101506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医疗保障经办事务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2101550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2101599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其他医疗保障管理事务支出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中医药事务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2101701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2101702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2101703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2101704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中医（民族医）药专项</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2101750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2101799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其他中医药事务支出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疾病预防控制事务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2101801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2101802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2101803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2101899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其他疾病预防控制事务支出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托育服务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2101901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托育机构</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其他托育服务支出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其他卫生健康支出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2109999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其他卫生健康支出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节能环保支出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860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2878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234.7%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环境保护管理事务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2110104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生态环境保护宣传</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2110105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环境保护法规、规划及标准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2110106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生态环境国际合作及履约</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2110107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生态环境保护行政许可</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2110108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应对气候变化管理事务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其他环境保护管理事务支出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环境监测与监察</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2110203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建设项目环评审查与监督</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2110204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核与辐射安全监督</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2110299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其他环境监测与监察支出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污染防治</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1400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大气</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1400</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2110302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水体</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2110303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噪声</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2110304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固体废弃物与化学品</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2110305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放射源和放射性废物监管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2110306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辐射</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2110307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土壤</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2110399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其他污染防治支出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自然生态保护</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675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1315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2110401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生态保护</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675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1315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2110402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农村环境保护</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2110404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生物及物种资源保护</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2110405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草原生态修复治理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2110406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自然保护地</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2110499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其他自然生态保护支出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森林保护修复</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2110501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森林管护</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2110502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社会保险补助</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2110503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政策性社会性支出补助</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2110506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天然林保护工程建设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2110507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停伐补助</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2110599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其他森林保护修复支出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风沙荒漠治理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2110704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京津风沙源治理工程建设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2110799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其他风沙荒漠治理支出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退牧还草</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2110804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退牧还草工程建设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2110899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其他退牧还草支出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已垦草原退耕还草</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2110901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已垦草原退耕还草</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能源节约利用</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2111001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能源节约利用</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污染减排</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生态环境监测与信息</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生态环境执法监察</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减排专项支出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2111104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清洁生产专项支出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其他污染减排支出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清洁能源</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可再生能源</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2111299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其他清洁能源支出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循环经济</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循环经济</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能源管理事务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能源科技装备</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能源行业管理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能源管理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2111411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信息化建设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2111413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农村电网建设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其他能源管理事务支出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其他节能环保支出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2119999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其他节能环保支出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城乡社区支出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1039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3485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235.4%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城乡社区管理事务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1038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841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678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721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城管执法</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工程建设标准规范编制与监管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工程建设管理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市政公用行业市场监管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住宅建设与房地产市场监管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执业资格注册、资质审查</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其他城乡社区管理事务支出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360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城乡社区规划与管理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城乡社区规划与管理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城乡社区公共设施</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2644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264300.0%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2120303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小城镇基础设施建设</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2319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2120399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其他城乡社区公共设施支出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325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城乡社区环境卫生</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2120501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城乡社区环境卫生</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建设市场管理与监督</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2120601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建设市场管理与监督</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其他城乡社区支出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2129999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其他城乡社区支出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农林水支出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48687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45505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农业农村</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16602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13873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1671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1988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1127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951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农垦运行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科技转化与推广服务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病虫害控制</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212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农产品质量安全</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执法监管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2130111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统计监测与信息服务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2130112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行业业务管理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2130114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对外交流与合作</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2130119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防灾救灾</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2130120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稳定农民收入补贴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6745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6135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2130121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农业结构调整补贴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2130122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农业生产发展</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3258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1132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2130124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农村合作经济</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792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729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2130125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农产品加工与促销</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2130126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农村社会事业</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2130135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农业生态资源保护</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2130142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乡村道路建设</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2130148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渔业发展</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2130152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对高校毕业生到基层任职补助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2130153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耕地建设与利用</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2270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2568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其他农业农村支出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435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林业和草原</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629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468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事业机构</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森林资源培育</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技术推广与转化</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森林资源管理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森林生态效益补偿</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2130211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动植物保护</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2130212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湿地保护</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2130213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执法与监督</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2130217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防沙治沙</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2130220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对外合作与交流</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2130221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产业化管理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124</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2130223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信息管理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2130226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林区公共支出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2130227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贷款贴息</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2130234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林业草原防灾减灾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2130236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草原管理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2130237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行业业务管理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2130238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退耕还林还草</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487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245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其他林业和草原支出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水利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2784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2040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1862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1228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水利行业业务管理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水利工程建设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300</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水利工程运行与维护</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176</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长江黄河等流域管理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水利前期工作</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水利执法监督</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水土保持</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300</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2130311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水资源节约管理与保护</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32</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2130312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水质监测</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2130313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水文测报</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2130314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防汛</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2130315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抗旱</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2130316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农村水利</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2130317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水利技术推广</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2130318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国际河流治理与管理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2130319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江河湖库水系综合整治</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2130321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大中型水库移民后期扶持专项支出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480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2130322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水利安全监督</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2130333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信息管理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2130334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水利建设征地及移民支出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2130335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农村供水</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2130336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南水北调工程建设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2130337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南水北调工程管理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其他水利支出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442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巩固脱贫攻坚成果衔接乡村振兴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22413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22328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2130504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农村基础设施建设</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527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1148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2130505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生产发展</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21886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21180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2130506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社会发展</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2130507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贷款奖补和贴息</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2130508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“三西”农业建设专项补助</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2130599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其他巩固脱贫攻坚成果衔接乡村振兴支出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农村综合改革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1041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1224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2130701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对村级公益事业建设的补助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1041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1224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2130704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国有农场办社会职能改革补助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2130705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对村民委员会和村党支部的补助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2130706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对村集体经济组织的补助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2130707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农村综合改革示范试点补助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2130799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其他农村综合改革支出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普惠金融发展支出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1681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3484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2130801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支持农村金融机构</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2130803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农业保险保费补贴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1653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3388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2130804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创业担保贷款贴息及奖补</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2130805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补充创业担保贷款基金</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2130899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其他普惠金融发展支出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242.9%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目标价格补贴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2130901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棉花目标价格补贴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其他目标价格补贴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其他农林水支出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3537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2088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2139901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化解其他公益性乡村债务支出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2139999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其他农林水支出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3537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2088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交通运输支出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2160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2525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公路水路运输</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2160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2525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236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315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公路建设</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1581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1674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公路养护</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343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536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交通运输信息化建设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公路和运输安全</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2140112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公路运输管理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2140114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公路和运输技术标准化建设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2140122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水运建设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2140123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航道维护</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2140127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船舶检验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2140128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救助打捞</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2140129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内河运输</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2140130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远洋运输</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2140131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海事管理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2140133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航标事业发展支出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2140136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水路运输管理支出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2140138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口岸建设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其他公路水路运输支出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铁路运输</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2140202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2140203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2140204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铁路路网建设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2140205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铁路还贷专项</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2140206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铁路安全</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2140207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铁路专项运输</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2140208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行业监管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2140299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其他铁路运输支出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民用航空运输</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2140302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2140303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2140304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机场建设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2140305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空管系统建设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2140306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民航还贷专项支出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2140307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民用航空安全</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2140308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民航专项运输</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2140399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其他民用航空运输支出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邮政业支出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2140501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2140502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2140503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2140504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行业监管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2140505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邮政普遍服务与特殊服务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2140599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其他邮政业支出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其他交通运输支出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2149901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公共交通运营补助</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2149999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其他交通运输支出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资源勘探工业信息等支出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资源勘探开发</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2150104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煤炭勘探开采和洗选</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2150105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石油和天然气勘探开采</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2150106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黑色金属矿勘探和采选</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2150107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有色金属矿勘探和采选</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2150108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非金属矿勘探和采选</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其他资源勘探业支出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制造业</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纺织业</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44</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医药制造业</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非金属矿物制品业</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通信设备、计算机及其他电子设备制造业</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交通运输设备制造业</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电气机械及器材制造业</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工艺品及其他制造业</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2150212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石油加工、炼焦及核燃料加工业</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2150213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化学原料及化学制品制造业</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2150214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黑色金属冶炼及压延加工业</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2150215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有色金属冶炼及压延加工业</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其他制造业支出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建筑业</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2150302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2150303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2150399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其他建筑业支出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工业和信息产业</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93</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战备应急</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专用通信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无线电及信息通信监管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2150516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工程建设及运行维护</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2150517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产业发展</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其他工业和信息产业支出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国有资产监管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2150701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2150702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2150703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2150704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国有企业监事会专项</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2150799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其他国有资产监管支出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支持中小企业发展和管理支出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2150801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2150802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2150803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2150804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科技型中小企业技术创新基金</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2150805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中小企业发展专项</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2150806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减免房租补贴</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2150899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其他支持中小企业发展和管理支出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其他资源勘探工业信息等支出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2159901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黄金事务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2159904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技术改造支出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2159905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中药材扶持资金支出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2159906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重点产业振兴和技术改造项目贷款贴息</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2159999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其他资源勘探工业信息等支出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商业服务业等支出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288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商业流通事务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2160202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2160203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2160216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食品流通安全补贴</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2160217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市场监测及信息管理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2160218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民贸企业补贴</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2160219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民贸民品贷款贴息</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2160250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2160299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其他商业流通事务支出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涉外发展服务支出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2160601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2160602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2160603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2160607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外商投资环境建设补助资金</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2160699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其他涉外发展服务支出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其他商业服务业等支出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2169901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服务业基础设施建设</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2169999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其他商业服务业等支出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金融支出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金融部门行政支出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2170104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安全防卫</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2170150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金融部门其他行政支出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金融部门监管支出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货币发行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2170202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金融服务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2170203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反假币</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2170204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重点金融机构监管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2170205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金融稽查与案件处理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2170206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金融行业电子化建设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2170207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从业人员资格考试</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2170208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反洗钱</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2170299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金融部门其他监管支出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金融发展支出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政策性银行亏损补贴</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2170302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利息费用补贴支出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2170303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补充资本金</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2170304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风险基金补助</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2170399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其他金融发展支出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金融调控支出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2170499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其他金融调控支出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其他金融支出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2179902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重点企业贷款贴息</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2179999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其他金融支出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援助其他地区支出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一般公共服务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一般公共服务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教育</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教育</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文化旅游体育与传媒</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文化旅游体育与传媒</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卫生健康</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卫生健康</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节能环保</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节能环保</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农业农村</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农业农村</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交通运输</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交通运输</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住房保障</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住房保障</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自然资源海洋气象等支出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894</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968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自然资源事务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882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955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882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955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自然资源规划及管理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自然资源利用与保护</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自然资源社会公益服务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自然资源行业业务管理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自然资源调查与确权登记</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2200112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土地资源储备支出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2200113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地质矿产资源与环境调查</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2200114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地质勘查与矿产资源管理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2200115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地质转产项目财政贴息</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2200116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国外风险勘查</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2200119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地质勘查基金（周转金）支出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2200120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海域与海岛管理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2200121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自然资源国际合作与海洋权益维护</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2200122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自然资源卫星</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2200123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极地考察</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2200124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深海调查与资源开发</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2200125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海港航标维护</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2200126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海水淡化</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2200127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无居民海岛使用金支出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2200128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海洋战略规划与预警监测</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2200129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基础测绘与地理信息监管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其他自然资源事务支出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气象事务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气象事业机构</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气象探测</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气象信息传输及管理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气象预报预测</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气象服务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气象装备保障维护</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2200511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气象基础设施建设与维修</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2200512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气象卫星</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2200513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气象法规与标准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2200514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气象资金审计稽查</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其他气象事务支出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其他自然资源海洋气象等支出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2209999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其他自然资源海洋气象等支出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住房保障支出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8907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10422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保障性安居工程支出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3291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5631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廉租住房</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沉陷区治理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棚户区改造</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2210104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少数民族地区游牧民定居工程</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2210105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农村危房改造</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1407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3331.7%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2210108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老旧小区改造</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921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2210109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住房租赁市场发展</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2210111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配租型住房保障</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850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2210112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配售型保障性住房</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2210113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城中村改造</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其他保障性安居工程支出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2400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3303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住房改革支出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5275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4791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住房公积金</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5275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4791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2210202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提租补贴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2210203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购房补贴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城乡社区住宅</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341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公有住房建设和维修改造支出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2210302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住房公积金管理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2210399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其他城乡社区住宅支出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341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粮油物资储备支出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1583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1179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粮油物资事务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1527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1179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财务和审计支出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信息统计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专项业务活动</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国家粮油差价补贴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2220112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粮食财务挂账利息补贴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2220113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粮食财务挂账消化款</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2220114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处理陈化粮补贴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2220115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粮食风险基金</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2220118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粮油市场调控专项资金</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2220119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设施建设</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2220120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设施安全</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2220121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物资保管保养</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27</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其他粮油物资事务支出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1478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1152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能源储备</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石油储备</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2220303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天然铀储备</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2220304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煤炭储备</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2220305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成品油储备</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2220306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天然气储备</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2220399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其他能源储备支出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粮油储备</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2220401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储备粮油补贴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2220402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储备粮油差价补贴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2220403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储备粮（油）库建设</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2220404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最低收购价政策支出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2220499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其他粮油储备支出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重要商品储备</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棉花储备</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食糖储备</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肉类储备</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化肥储备</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农药储备</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边销茶储备</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羊毛储备</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医药储备</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食盐储备</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战略物资储备</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2220511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应急物资储备</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其他重要商品储备支出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灾害防治及应急管理支出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495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466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应急管理事务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271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266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灾害风险防治</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国务院安委会专项</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安全监管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应急救援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应急管理</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其他应急管理支出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消防救援事务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2240202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2240203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2240204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消防应急救援</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153</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2240250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2240299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其他消防救援事务支出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矿山安全</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2240401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2240402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2240403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2240404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矿山安全监察事务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2240405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矿山应急救援事务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2240450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事业运行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2240499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其他矿山安全支出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地震事务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行政运行</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一般行政管理事务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机关服务</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地震监测</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2240505</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地震预测预报</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地震灾害预防</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地震应急救援</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2240508</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地震环境探察</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2240509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防震减灾信息管理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2240510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防震减灾基础管理</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2240550</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地震事业机构</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其他地震事务支出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22406</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自然灾害防治</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2240601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地质灾害防治</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2240602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森林草原防灾减灾</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2240699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其他自然灾害防治支出</w:t>
            </w: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自然灾害救灾及恢复重建支出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2240703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自然灾害救灾补助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2240704</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自然灾害灾后重建补助</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2240799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其他自然灾害救灾及恢复重建支出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其他灾害防治及应急管理支出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2249999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其他灾害防治及应急管理支出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预备费</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3100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3200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227</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预备费</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3100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3200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25978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21826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年初预留</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17148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2290201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年初预留</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17148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25978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4678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2299999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25978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4678</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债务付息支出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2572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2586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地方政府一般债务付息支出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2572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2586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地方政府一般债券付息支出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2572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2551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2320302</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地方政府向外国政府借款付息支出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35</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2320303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地方政府向国际组织借款付息支出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2320399</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地方政府其他一般债务付息支出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债务发行费用支出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23303</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地方政府一般债务发行费用支出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2330301</w:t>
            </w:r>
          </w:p>
        </w:tc>
        <w:tc>
          <w:tcPr>
            <w:tcW w:w="0" w:type="auto"/>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地方政府一般债务发行费用支出</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shd w:val="clear" w:color="auto" w:fill="FFFFFF"/>
            <w:noWrap/>
            <w:vAlign w:val="bottom"/>
          </w:tcPr>
          <w:p>
            <w:pPr>
              <w:jc w:val="left"/>
              <w:rPr>
                <w:rFonts w:hint="default" w:ascii="Times New Roman" w:hAnsi="Times New Roman" w:eastAsia="宋体" w:cs="Times New Roman"/>
                <w:i w:val="0"/>
                <w:iCs w:val="0"/>
                <w:color w:val="000000"/>
                <w:sz w:val="22"/>
                <w:szCs w:val="22"/>
                <w:u w:val="none"/>
              </w:rPr>
            </w:pPr>
          </w:p>
        </w:tc>
        <w:tc>
          <w:tcPr>
            <w:tcW w:w="0" w:type="auto"/>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一般公共预算支出合计</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20"/>
                <w:szCs w:val="20"/>
                <w:u w:val="none"/>
                <w:lang w:val="en-US" w:eastAsia="zh-CN" w:bidi="ar"/>
              </w:rPr>
            </w:pPr>
            <w:r>
              <w:rPr>
                <w:rFonts w:hint="default" w:ascii="Times New Roman" w:hAnsi="Times New Roman" w:eastAsia="宋体" w:cs="Times New Roman"/>
                <w:b/>
                <w:bCs/>
                <w:i w:val="0"/>
                <w:iCs w:val="0"/>
                <w:color w:val="000000"/>
                <w:kern w:val="0"/>
                <w:sz w:val="20"/>
                <w:szCs w:val="20"/>
                <w:u w:val="none"/>
                <w:lang w:val="en-US" w:eastAsia="zh-CN" w:bidi="ar"/>
              </w:rPr>
              <w:t>310421</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20"/>
                <w:szCs w:val="20"/>
                <w:u w:val="none"/>
                <w:lang w:val="en-US" w:eastAsia="zh-CN" w:bidi="ar"/>
              </w:rPr>
            </w:pPr>
            <w:r>
              <w:rPr>
                <w:rFonts w:hint="default" w:ascii="Times New Roman" w:hAnsi="Times New Roman" w:eastAsia="宋体" w:cs="Times New Roman"/>
                <w:b/>
                <w:bCs/>
                <w:i w:val="0"/>
                <w:iCs w:val="0"/>
                <w:color w:val="000000"/>
                <w:kern w:val="0"/>
                <w:sz w:val="20"/>
                <w:szCs w:val="20"/>
                <w:u w:val="none"/>
                <w:lang w:val="en-US" w:eastAsia="zh-CN" w:bidi="ar"/>
              </w:rPr>
              <w:t>306739</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20"/>
                <w:szCs w:val="20"/>
                <w:u w:val="none"/>
                <w:lang w:val="en-US" w:eastAsia="zh-CN" w:bidi="ar"/>
              </w:rPr>
            </w:pPr>
            <w:r>
              <w:rPr>
                <w:rFonts w:hint="default" w:ascii="Times New Roman" w:hAnsi="Times New Roman" w:eastAsia="宋体" w:cs="Times New Roman"/>
                <w:b/>
                <w:bCs/>
                <w:i w:val="0"/>
                <w:iCs w:val="0"/>
                <w:color w:val="000000"/>
                <w:kern w:val="0"/>
                <w:sz w:val="20"/>
                <w:szCs w:val="20"/>
                <w:u w:val="none"/>
                <w:lang w:val="en-US" w:eastAsia="zh-CN" w:bidi="ar"/>
              </w:rPr>
              <w:t>-1.2%</w:t>
            </w:r>
          </w:p>
        </w:tc>
      </w:tr>
    </w:tbl>
    <w:p>
      <w:pPr>
        <w:rPr>
          <w:rFonts w:hint="default" w:ascii="Times New Roman" w:hAnsi="Times New Roman" w:cs="Times New Roman"/>
          <w:highlight w:val="none"/>
          <w:lang w:eastAsia="zh-Hans"/>
        </w:rPr>
      </w:pPr>
      <w:r>
        <w:rPr>
          <w:rFonts w:hint="default" w:ascii="Times New Roman" w:hAnsi="Times New Roman" w:cs="Times New Roman"/>
          <w:highlight w:val="none"/>
          <w:lang w:eastAsia="zh-Hans"/>
        </w:rPr>
        <w:t xml:space="preserve">     </w:t>
      </w:r>
    </w:p>
    <w:p>
      <w:pPr>
        <w:rPr>
          <w:rFonts w:hint="default" w:ascii="Times New Roman" w:hAnsi="Times New Roman" w:cs="Times New Roman"/>
        </w:rPr>
      </w:pPr>
      <w:r>
        <w:rPr>
          <w:rFonts w:hint="default" w:ascii="Times New Roman" w:hAnsi="Times New Roman" w:cs="Times New Roman"/>
          <w:highlight w:val="none"/>
          <w:lang w:eastAsia="zh-Hans"/>
        </w:rPr>
        <w:t xml:space="preserve">                                   </w:t>
      </w:r>
    </w:p>
    <w:tbl>
      <w:tblPr>
        <w:tblStyle w:val="8"/>
        <w:tblW w:w="8151"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020"/>
        <w:gridCol w:w="3366"/>
        <w:gridCol w:w="1128"/>
        <w:gridCol w:w="1214"/>
        <w:gridCol w:w="1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trPr>
        <w:tc>
          <w:tcPr>
            <w:tcW w:w="102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表5</w:t>
            </w:r>
          </w:p>
        </w:tc>
        <w:tc>
          <w:tcPr>
            <w:tcW w:w="3366" w:type="dxa"/>
            <w:tcBorders>
              <w:top w:val="nil"/>
              <w:left w:val="nil"/>
              <w:bottom w:val="nil"/>
              <w:right w:val="nil"/>
            </w:tcBorders>
            <w:shd w:val="clear" w:color="auto" w:fill="auto"/>
            <w:vAlign w:val="bottom"/>
          </w:tcPr>
          <w:p>
            <w:pPr>
              <w:jc w:val="left"/>
              <w:rPr>
                <w:rFonts w:hint="default" w:ascii="Times New Roman" w:hAnsi="Times New Roman" w:eastAsia="宋体" w:cs="Times New Roman"/>
                <w:i w:val="0"/>
                <w:iCs w:val="0"/>
                <w:color w:val="000000"/>
                <w:sz w:val="24"/>
                <w:szCs w:val="24"/>
                <w:u w:val="none"/>
              </w:rPr>
            </w:pPr>
          </w:p>
        </w:tc>
        <w:tc>
          <w:tcPr>
            <w:tcW w:w="1128" w:type="dxa"/>
            <w:tcBorders>
              <w:top w:val="nil"/>
              <w:left w:val="nil"/>
              <w:bottom w:val="nil"/>
              <w:right w:val="nil"/>
            </w:tcBorders>
            <w:shd w:val="clear" w:color="auto" w:fill="auto"/>
            <w:vAlign w:val="bottom"/>
          </w:tcPr>
          <w:p>
            <w:pPr>
              <w:jc w:val="center"/>
              <w:rPr>
                <w:rFonts w:hint="default" w:ascii="Times New Roman" w:hAnsi="Times New Roman" w:eastAsia="宋体" w:cs="Times New Roman"/>
                <w:i w:val="0"/>
                <w:iCs w:val="0"/>
                <w:color w:val="000000"/>
                <w:sz w:val="24"/>
                <w:szCs w:val="24"/>
                <w:u w:val="none"/>
              </w:rPr>
            </w:pPr>
          </w:p>
        </w:tc>
        <w:tc>
          <w:tcPr>
            <w:tcW w:w="1214" w:type="dxa"/>
            <w:tcBorders>
              <w:top w:val="nil"/>
              <w:left w:val="nil"/>
              <w:bottom w:val="nil"/>
              <w:right w:val="nil"/>
            </w:tcBorders>
            <w:shd w:val="clear" w:color="auto" w:fill="auto"/>
            <w:vAlign w:val="bottom"/>
          </w:tcPr>
          <w:p>
            <w:pPr>
              <w:jc w:val="center"/>
              <w:rPr>
                <w:rFonts w:hint="default" w:ascii="Times New Roman" w:hAnsi="Times New Roman" w:eastAsia="宋体" w:cs="Times New Roman"/>
                <w:i w:val="0"/>
                <w:iCs w:val="0"/>
                <w:color w:val="000000"/>
                <w:sz w:val="24"/>
                <w:szCs w:val="24"/>
                <w:u w:val="none"/>
              </w:rPr>
            </w:pPr>
          </w:p>
        </w:tc>
        <w:tc>
          <w:tcPr>
            <w:tcW w:w="1423" w:type="dxa"/>
            <w:tcBorders>
              <w:top w:val="nil"/>
              <w:left w:val="nil"/>
              <w:bottom w:val="nil"/>
              <w:right w:val="nil"/>
            </w:tcBorders>
            <w:shd w:val="clear" w:color="auto" w:fill="auto"/>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151"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2025年泽普县本级一般公共预算基本支出预算表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8151" w:type="dxa"/>
            <w:gridSpan w:val="5"/>
            <w:tcBorders>
              <w:top w:val="nil"/>
              <w:left w:val="nil"/>
              <w:bottom w:val="single" w:color="auto" w:sz="4" w:space="0"/>
              <w:right w:val="nil"/>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020" w:type="dxa"/>
            <w:tcBorders>
              <w:top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科目编码</w:t>
            </w:r>
          </w:p>
        </w:tc>
        <w:tc>
          <w:tcPr>
            <w:tcW w:w="3366" w:type="dxa"/>
            <w:tcBorders>
              <w:top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项   目</w:t>
            </w:r>
          </w:p>
        </w:tc>
        <w:tc>
          <w:tcPr>
            <w:tcW w:w="1128" w:type="dxa"/>
            <w:tcBorders>
              <w:top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2024年预算数</w:t>
            </w:r>
          </w:p>
        </w:tc>
        <w:tc>
          <w:tcPr>
            <w:tcW w:w="1214" w:type="dxa"/>
            <w:tcBorders>
              <w:top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2025年预算数</w:t>
            </w:r>
          </w:p>
        </w:tc>
        <w:tc>
          <w:tcPr>
            <w:tcW w:w="1423" w:type="dxa"/>
            <w:tcBorders>
              <w:top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比上年预算数增 (减)%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501</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机关工资福利支出</w:t>
            </w:r>
          </w:p>
        </w:tc>
        <w:tc>
          <w:tcPr>
            <w:tcW w:w="112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63704</w:t>
            </w: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67543.97</w:t>
            </w:r>
          </w:p>
        </w:tc>
        <w:tc>
          <w:tcPr>
            <w:tcW w:w="1423"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50101</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工资奖金津补贴</w:t>
            </w:r>
          </w:p>
        </w:tc>
        <w:tc>
          <w:tcPr>
            <w:tcW w:w="112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37559</w:t>
            </w: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39908.55</w:t>
            </w:r>
          </w:p>
        </w:tc>
        <w:tc>
          <w:tcPr>
            <w:tcW w:w="1423"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50102</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社会保障缴费</w:t>
            </w:r>
          </w:p>
        </w:tc>
        <w:tc>
          <w:tcPr>
            <w:tcW w:w="112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7838</w:t>
            </w: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8633.39</w:t>
            </w:r>
          </w:p>
        </w:tc>
        <w:tc>
          <w:tcPr>
            <w:tcW w:w="1423"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50103</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住房公积金</w:t>
            </w:r>
          </w:p>
        </w:tc>
        <w:tc>
          <w:tcPr>
            <w:tcW w:w="112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4187</w:t>
            </w: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4712.94</w:t>
            </w:r>
          </w:p>
        </w:tc>
        <w:tc>
          <w:tcPr>
            <w:tcW w:w="1423"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50199</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其他工资福利支出</w:t>
            </w:r>
          </w:p>
        </w:tc>
        <w:tc>
          <w:tcPr>
            <w:tcW w:w="112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14119</w:t>
            </w: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14289.08</w:t>
            </w:r>
          </w:p>
        </w:tc>
        <w:tc>
          <w:tcPr>
            <w:tcW w:w="1423"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502</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机关商品和服务支出</w:t>
            </w:r>
          </w:p>
        </w:tc>
        <w:tc>
          <w:tcPr>
            <w:tcW w:w="112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1838</w:t>
            </w: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4248.46</w:t>
            </w:r>
          </w:p>
        </w:tc>
        <w:tc>
          <w:tcPr>
            <w:tcW w:w="1423"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50201</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办公经费</w:t>
            </w:r>
          </w:p>
        </w:tc>
        <w:tc>
          <w:tcPr>
            <w:tcW w:w="112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997</w:t>
            </w: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3160.97</w:t>
            </w:r>
          </w:p>
        </w:tc>
        <w:tc>
          <w:tcPr>
            <w:tcW w:w="1423"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50202</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会议费</w:t>
            </w:r>
          </w:p>
        </w:tc>
        <w:tc>
          <w:tcPr>
            <w:tcW w:w="112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3" w:type="dxa"/>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50203</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培训费</w:t>
            </w:r>
          </w:p>
        </w:tc>
        <w:tc>
          <w:tcPr>
            <w:tcW w:w="112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1423" w:type="dxa"/>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50204</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专用材料购置费</w:t>
            </w:r>
          </w:p>
        </w:tc>
        <w:tc>
          <w:tcPr>
            <w:tcW w:w="112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w:t>
            </w: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23"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50205</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委托业务费</w:t>
            </w:r>
          </w:p>
        </w:tc>
        <w:tc>
          <w:tcPr>
            <w:tcW w:w="112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307.36</w:t>
            </w:r>
          </w:p>
        </w:tc>
        <w:tc>
          <w:tcPr>
            <w:tcW w:w="1423"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15268.0%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50206</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公务接待费</w:t>
            </w:r>
          </w:p>
        </w:tc>
        <w:tc>
          <w:tcPr>
            <w:tcW w:w="112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1423" w:type="dxa"/>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50208</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公务用车运行维护费</w:t>
            </w:r>
          </w:p>
        </w:tc>
        <w:tc>
          <w:tcPr>
            <w:tcW w:w="112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771</w:t>
            </w: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486.35</w:t>
            </w:r>
          </w:p>
        </w:tc>
        <w:tc>
          <w:tcPr>
            <w:tcW w:w="1423"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50209</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维修（护）费</w:t>
            </w:r>
          </w:p>
        </w:tc>
        <w:tc>
          <w:tcPr>
            <w:tcW w:w="112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w:t>
            </w: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94</w:t>
            </w:r>
          </w:p>
        </w:tc>
        <w:tc>
          <w:tcPr>
            <w:tcW w:w="1423"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50299</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其他商品和服务支出</w:t>
            </w:r>
          </w:p>
        </w:tc>
        <w:tc>
          <w:tcPr>
            <w:tcW w:w="112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48</w:t>
            </w: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177.78</w:t>
            </w:r>
          </w:p>
        </w:tc>
        <w:tc>
          <w:tcPr>
            <w:tcW w:w="1423"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270.4%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503</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机关资本性支出</w:t>
            </w:r>
          </w:p>
        </w:tc>
        <w:tc>
          <w:tcPr>
            <w:tcW w:w="112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3" w:type="dxa"/>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50306</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设备购置</w:t>
            </w:r>
          </w:p>
        </w:tc>
        <w:tc>
          <w:tcPr>
            <w:tcW w:w="112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3" w:type="dxa"/>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504</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机关资本性支出（基本建设）</w:t>
            </w:r>
          </w:p>
        </w:tc>
        <w:tc>
          <w:tcPr>
            <w:tcW w:w="112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1423" w:type="dxa"/>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50401</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房屋建筑物购建</w:t>
            </w:r>
          </w:p>
        </w:tc>
        <w:tc>
          <w:tcPr>
            <w:tcW w:w="112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1423" w:type="dxa"/>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50404</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设备购置</w:t>
            </w:r>
          </w:p>
        </w:tc>
        <w:tc>
          <w:tcPr>
            <w:tcW w:w="112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1423" w:type="dxa"/>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50405</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大型修缮</w:t>
            </w:r>
          </w:p>
        </w:tc>
        <w:tc>
          <w:tcPr>
            <w:tcW w:w="112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1423" w:type="dxa"/>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505</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对事业单位经常性补助</w:t>
            </w:r>
          </w:p>
        </w:tc>
        <w:tc>
          <w:tcPr>
            <w:tcW w:w="112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99883</w:t>
            </w: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92935.03</w:t>
            </w:r>
          </w:p>
        </w:tc>
        <w:tc>
          <w:tcPr>
            <w:tcW w:w="1423"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50501</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工资福利支出</w:t>
            </w:r>
          </w:p>
        </w:tc>
        <w:tc>
          <w:tcPr>
            <w:tcW w:w="112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99635</w:t>
            </w: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91342.7</w:t>
            </w:r>
          </w:p>
        </w:tc>
        <w:tc>
          <w:tcPr>
            <w:tcW w:w="1423"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50502</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商品和服务支出</w:t>
            </w:r>
          </w:p>
        </w:tc>
        <w:tc>
          <w:tcPr>
            <w:tcW w:w="112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247</w:t>
            </w: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1592.33</w:t>
            </w:r>
          </w:p>
        </w:tc>
        <w:tc>
          <w:tcPr>
            <w:tcW w:w="1423"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544.7%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506</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对事业单位资本性补助</w:t>
            </w:r>
          </w:p>
        </w:tc>
        <w:tc>
          <w:tcPr>
            <w:tcW w:w="1128" w:type="dxa"/>
            <w:shd w:val="clear" w:color="auto" w:fill="FFFFFF"/>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1423" w:type="dxa"/>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50601</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资本性支出</w:t>
            </w:r>
          </w:p>
        </w:tc>
        <w:tc>
          <w:tcPr>
            <w:tcW w:w="112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1423" w:type="dxa"/>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50602</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资本性支出（基本建设）</w:t>
            </w:r>
          </w:p>
        </w:tc>
        <w:tc>
          <w:tcPr>
            <w:tcW w:w="112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1423" w:type="dxa"/>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507</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对企业补助</w:t>
            </w:r>
          </w:p>
        </w:tc>
        <w:tc>
          <w:tcPr>
            <w:tcW w:w="112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277</w:t>
            </w:r>
          </w:p>
        </w:tc>
        <w:tc>
          <w:tcPr>
            <w:tcW w:w="1423" w:type="dxa"/>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50799</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其他对企业补助</w:t>
            </w:r>
          </w:p>
        </w:tc>
        <w:tc>
          <w:tcPr>
            <w:tcW w:w="112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277</w:t>
            </w:r>
          </w:p>
        </w:tc>
        <w:tc>
          <w:tcPr>
            <w:tcW w:w="1423" w:type="dxa"/>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508</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对企业资本性支出</w:t>
            </w:r>
          </w:p>
        </w:tc>
        <w:tc>
          <w:tcPr>
            <w:tcW w:w="112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1423" w:type="dxa"/>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50803</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资本金注入</w:t>
            </w:r>
          </w:p>
        </w:tc>
        <w:tc>
          <w:tcPr>
            <w:tcW w:w="112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1423" w:type="dxa"/>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509</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对个人和家庭的补助</w:t>
            </w:r>
          </w:p>
        </w:tc>
        <w:tc>
          <w:tcPr>
            <w:tcW w:w="112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2851</w:t>
            </w: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6382.5</w:t>
            </w:r>
          </w:p>
        </w:tc>
        <w:tc>
          <w:tcPr>
            <w:tcW w:w="1423"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50901</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社会福利和救助</w:t>
            </w:r>
          </w:p>
        </w:tc>
        <w:tc>
          <w:tcPr>
            <w:tcW w:w="112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201</w:t>
            </w: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2353.85</w:t>
            </w:r>
          </w:p>
        </w:tc>
        <w:tc>
          <w:tcPr>
            <w:tcW w:w="1423"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1071.1%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50902</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助学金</w:t>
            </w:r>
          </w:p>
        </w:tc>
        <w:tc>
          <w:tcPr>
            <w:tcW w:w="112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542.29</w:t>
            </w:r>
          </w:p>
        </w:tc>
        <w:tc>
          <w:tcPr>
            <w:tcW w:w="1423"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50905</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离退休费</w:t>
            </w:r>
          </w:p>
        </w:tc>
        <w:tc>
          <w:tcPr>
            <w:tcW w:w="112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2650</w:t>
            </w: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3324.71</w:t>
            </w:r>
          </w:p>
        </w:tc>
        <w:tc>
          <w:tcPr>
            <w:tcW w:w="1423"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50999</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其他对个人和家庭的补助</w:t>
            </w:r>
          </w:p>
        </w:tc>
        <w:tc>
          <w:tcPr>
            <w:tcW w:w="112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161.65</w:t>
            </w:r>
          </w:p>
        </w:tc>
        <w:tc>
          <w:tcPr>
            <w:tcW w:w="1423" w:type="dxa"/>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510</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对社会保障基金补助</w:t>
            </w:r>
          </w:p>
        </w:tc>
        <w:tc>
          <w:tcPr>
            <w:tcW w:w="112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383.67</w:t>
            </w:r>
          </w:p>
        </w:tc>
        <w:tc>
          <w:tcPr>
            <w:tcW w:w="1423" w:type="dxa"/>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51002</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对社会保险基金补助</w:t>
            </w:r>
          </w:p>
        </w:tc>
        <w:tc>
          <w:tcPr>
            <w:tcW w:w="112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383.67</w:t>
            </w:r>
          </w:p>
        </w:tc>
        <w:tc>
          <w:tcPr>
            <w:tcW w:w="1423" w:type="dxa"/>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511</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债务利息及费用支出</w:t>
            </w:r>
          </w:p>
        </w:tc>
        <w:tc>
          <w:tcPr>
            <w:tcW w:w="112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2561.25</w:t>
            </w:r>
          </w:p>
        </w:tc>
        <w:tc>
          <w:tcPr>
            <w:tcW w:w="1423" w:type="dxa"/>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51101</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国内债务付息</w:t>
            </w:r>
          </w:p>
        </w:tc>
        <w:tc>
          <w:tcPr>
            <w:tcW w:w="112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2551</w:t>
            </w:r>
          </w:p>
        </w:tc>
        <w:tc>
          <w:tcPr>
            <w:tcW w:w="1423" w:type="dxa"/>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51103</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国内债务发行费用</w:t>
            </w:r>
          </w:p>
        </w:tc>
        <w:tc>
          <w:tcPr>
            <w:tcW w:w="112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10.25</w:t>
            </w:r>
          </w:p>
        </w:tc>
        <w:tc>
          <w:tcPr>
            <w:tcW w:w="1423" w:type="dxa"/>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512</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债务还本支出</w:t>
            </w:r>
          </w:p>
        </w:tc>
        <w:tc>
          <w:tcPr>
            <w:tcW w:w="112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255</w:t>
            </w:r>
          </w:p>
        </w:tc>
        <w:tc>
          <w:tcPr>
            <w:tcW w:w="1423" w:type="dxa"/>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51201</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国内债务还本</w:t>
            </w:r>
          </w:p>
        </w:tc>
        <w:tc>
          <w:tcPr>
            <w:tcW w:w="112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255</w:t>
            </w:r>
          </w:p>
        </w:tc>
        <w:tc>
          <w:tcPr>
            <w:tcW w:w="1423" w:type="dxa"/>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599</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其他支出</w:t>
            </w:r>
          </w:p>
        </w:tc>
        <w:tc>
          <w:tcPr>
            <w:tcW w:w="112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72.09</w:t>
            </w:r>
          </w:p>
        </w:tc>
        <w:tc>
          <w:tcPr>
            <w:tcW w:w="1423" w:type="dxa"/>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59999</w:t>
            </w:r>
          </w:p>
        </w:tc>
        <w:tc>
          <w:tcPr>
            <w:tcW w:w="336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其他支出</w:t>
            </w:r>
          </w:p>
        </w:tc>
        <w:tc>
          <w:tcPr>
            <w:tcW w:w="112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14"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72.09</w:t>
            </w:r>
          </w:p>
        </w:tc>
        <w:tc>
          <w:tcPr>
            <w:tcW w:w="1423" w:type="dxa"/>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0" w:type="dxa"/>
            <w:shd w:val="clear" w:color="auto" w:fill="auto"/>
            <w:noWrap/>
            <w:vAlign w:val="bottom"/>
          </w:tcPr>
          <w:p>
            <w:pPr>
              <w:jc w:val="both"/>
              <w:rPr>
                <w:rFonts w:hint="default" w:ascii="Times New Roman" w:hAnsi="Times New Roman" w:eastAsia="宋体" w:cs="Times New Roman"/>
                <w:i w:val="0"/>
                <w:iCs w:val="0"/>
                <w:color w:val="000000"/>
                <w:sz w:val="24"/>
                <w:szCs w:val="24"/>
                <w:u w:val="none"/>
              </w:rPr>
            </w:pPr>
          </w:p>
        </w:tc>
        <w:tc>
          <w:tcPr>
            <w:tcW w:w="3366" w:type="dxa"/>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合计</w:t>
            </w:r>
          </w:p>
        </w:tc>
        <w:tc>
          <w:tcPr>
            <w:tcW w:w="1128" w:type="dxa"/>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168276</w:t>
            </w:r>
          </w:p>
        </w:tc>
        <w:tc>
          <w:tcPr>
            <w:tcW w:w="1214" w:type="dxa"/>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174683.98</w:t>
            </w:r>
          </w:p>
        </w:tc>
        <w:tc>
          <w:tcPr>
            <w:tcW w:w="1423" w:type="dxa"/>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3.8%</w:t>
            </w:r>
          </w:p>
        </w:tc>
      </w:tr>
    </w:tbl>
    <w:p>
      <w:pPr>
        <w:pStyle w:val="2"/>
        <w:ind w:left="0" w:leftChars="0" w:firstLine="0" w:firstLineChars="0"/>
        <w:rPr>
          <w:rFonts w:hint="default" w:ascii="Times New Roman" w:hAnsi="Times New Roman" w:cs="Times New Roman"/>
        </w:rPr>
      </w:pPr>
    </w:p>
    <w:p>
      <w:pPr>
        <w:rPr>
          <w:rFonts w:hint="default" w:ascii="Times New Roman" w:hAnsi="Times New Roman" w:cs="Times New Roman"/>
        </w:rPr>
      </w:pPr>
    </w:p>
    <w:p>
      <w:pPr>
        <w:pStyle w:val="2"/>
        <w:rPr>
          <w:rFonts w:hint="default"/>
        </w:rPr>
      </w:pPr>
    </w:p>
    <w:tbl>
      <w:tblPr>
        <w:tblStyle w:val="8"/>
        <w:tblW w:w="8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70"/>
        <w:gridCol w:w="3181"/>
        <w:gridCol w:w="1477"/>
        <w:gridCol w:w="1448"/>
        <w:gridCol w:w="1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107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表6</w:t>
            </w:r>
          </w:p>
        </w:tc>
        <w:tc>
          <w:tcPr>
            <w:tcW w:w="3181" w:type="dxa"/>
            <w:tcBorders>
              <w:top w:val="nil"/>
              <w:left w:val="nil"/>
              <w:bottom w:val="nil"/>
              <w:right w:val="nil"/>
            </w:tcBorders>
            <w:shd w:val="clear" w:color="auto" w:fill="auto"/>
            <w:vAlign w:val="bottom"/>
          </w:tcPr>
          <w:p>
            <w:pPr>
              <w:jc w:val="left"/>
              <w:rPr>
                <w:rFonts w:hint="default" w:ascii="Times New Roman" w:hAnsi="Times New Roman" w:eastAsia="宋体" w:cs="Times New Roman"/>
                <w:i w:val="0"/>
                <w:iCs w:val="0"/>
                <w:color w:val="000000"/>
                <w:sz w:val="24"/>
                <w:szCs w:val="24"/>
                <w:u w:val="none"/>
              </w:rPr>
            </w:pPr>
          </w:p>
        </w:tc>
        <w:tc>
          <w:tcPr>
            <w:tcW w:w="1477" w:type="dxa"/>
            <w:tcBorders>
              <w:top w:val="nil"/>
              <w:left w:val="nil"/>
              <w:bottom w:val="nil"/>
              <w:right w:val="nil"/>
            </w:tcBorders>
            <w:shd w:val="clear" w:color="auto" w:fill="auto"/>
            <w:vAlign w:val="bottom"/>
          </w:tcPr>
          <w:p>
            <w:pPr>
              <w:jc w:val="center"/>
              <w:rPr>
                <w:rFonts w:hint="default" w:ascii="Times New Roman" w:hAnsi="Times New Roman" w:eastAsia="宋体" w:cs="Times New Roman"/>
                <w:i w:val="0"/>
                <w:iCs w:val="0"/>
                <w:color w:val="000000"/>
                <w:sz w:val="24"/>
                <w:szCs w:val="24"/>
                <w:u w:val="none"/>
              </w:rPr>
            </w:pPr>
          </w:p>
        </w:tc>
        <w:tc>
          <w:tcPr>
            <w:tcW w:w="1448" w:type="dxa"/>
            <w:tcBorders>
              <w:top w:val="nil"/>
              <w:left w:val="nil"/>
              <w:bottom w:val="nil"/>
              <w:right w:val="nil"/>
            </w:tcBorders>
            <w:shd w:val="clear" w:color="auto" w:fill="auto"/>
            <w:vAlign w:val="bottom"/>
          </w:tcPr>
          <w:p>
            <w:pPr>
              <w:jc w:val="center"/>
              <w:rPr>
                <w:rFonts w:hint="default" w:ascii="Times New Roman" w:hAnsi="Times New Roman" w:eastAsia="宋体" w:cs="Times New Roman"/>
                <w:i w:val="0"/>
                <w:iCs w:val="0"/>
                <w:color w:val="000000"/>
                <w:sz w:val="24"/>
                <w:szCs w:val="24"/>
                <w:u w:val="none"/>
              </w:rPr>
            </w:pPr>
          </w:p>
        </w:tc>
        <w:tc>
          <w:tcPr>
            <w:tcW w:w="1305" w:type="dxa"/>
            <w:tcBorders>
              <w:top w:val="nil"/>
              <w:left w:val="nil"/>
              <w:bottom w:val="nil"/>
              <w:right w:val="nil"/>
            </w:tcBorders>
            <w:shd w:val="clear" w:color="auto" w:fill="auto"/>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481"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2025年泽普县本级一般公共预算政府预算支出经济分类明细表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8481" w:type="dxa"/>
            <w:gridSpan w:val="5"/>
            <w:tcBorders>
              <w:top w:val="nil"/>
              <w:left w:val="nil"/>
              <w:bottom w:val="single" w:color="auto" w:sz="4" w:space="0"/>
              <w:right w:val="nil"/>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科目编码</w:t>
            </w:r>
          </w:p>
        </w:tc>
        <w:tc>
          <w:tcPr>
            <w:tcW w:w="31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项   目</w:t>
            </w:r>
          </w:p>
        </w:tc>
        <w:tc>
          <w:tcPr>
            <w:tcW w:w="147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2024年预算数</w:t>
            </w:r>
          </w:p>
        </w:tc>
        <w:tc>
          <w:tcPr>
            <w:tcW w:w="14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2025年预算数</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比上年预算数增 (减)%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tcBorders>
              <w:top w:val="single" w:color="auto" w:sz="4" w:space="0"/>
            </w:tcBorders>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501</w:t>
            </w:r>
          </w:p>
        </w:tc>
        <w:tc>
          <w:tcPr>
            <w:tcW w:w="3181" w:type="dxa"/>
            <w:tcBorders>
              <w:top w:val="single" w:color="auto"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机关工资福利支出</w:t>
            </w:r>
          </w:p>
        </w:tc>
        <w:tc>
          <w:tcPr>
            <w:tcW w:w="1477" w:type="dxa"/>
            <w:tcBorders>
              <w:top w:val="single" w:color="auto"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63704</w:t>
            </w:r>
          </w:p>
        </w:tc>
        <w:tc>
          <w:tcPr>
            <w:tcW w:w="1448" w:type="dxa"/>
            <w:tcBorders>
              <w:top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67543.97</w:t>
            </w:r>
          </w:p>
        </w:tc>
        <w:tc>
          <w:tcPr>
            <w:tcW w:w="1305" w:type="dxa"/>
            <w:tcBorders>
              <w:top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50101</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工资奖金津补贴</w:t>
            </w:r>
          </w:p>
        </w:tc>
        <w:tc>
          <w:tcPr>
            <w:tcW w:w="1477"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37559</w:t>
            </w: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39908.55</w:t>
            </w:r>
          </w:p>
        </w:tc>
        <w:tc>
          <w:tcPr>
            <w:tcW w:w="1305"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50102</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社会保障缴费</w:t>
            </w:r>
          </w:p>
        </w:tc>
        <w:tc>
          <w:tcPr>
            <w:tcW w:w="1477"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7838</w:t>
            </w: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8633.39</w:t>
            </w:r>
          </w:p>
        </w:tc>
        <w:tc>
          <w:tcPr>
            <w:tcW w:w="1305"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50103</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住房公积金</w:t>
            </w:r>
          </w:p>
        </w:tc>
        <w:tc>
          <w:tcPr>
            <w:tcW w:w="147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4187</w:t>
            </w: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4712.94</w:t>
            </w:r>
          </w:p>
        </w:tc>
        <w:tc>
          <w:tcPr>
            <w:tcW w:w="1305"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50199</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其他工资福利支出</w:t>
            </w:r>
          </w:p>
        </w:tc>
        <w:tc>
          <w:tcPr>
            <w:tcW w:w="147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14119</w:t>
            </w: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14289.08</w:t>
            </w:r>
          </w:p>
        </w:tc>
        <w:tc>
          <w:tcPr>
            <w:tcW w:w="1305"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502</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机关商品和服务支出</w:t>
            </w:r>
          </w:p>
        </w:tc>
        <w:tc>
          <w:tcPr>
            <w:tcW w:w="147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1838</w:t>
            </w: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4248.46</w:t>
            </w:r>
          </w:p>
        </w:tc>
        <w:tc>
          <w:tcPr>
            <w:tcW w:w="1305"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50201</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办公经费</w:t>
            </w:r>
          </w:p>
        </w:tc>
        <w:tc>
          <w:tcPr>
            <w:tcW w:w="147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997</w:t>
            </w: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3160.97</w:t>
            </w:r>
          </w:p>
        </w:tc>
        <w:tc>
          <w:tcPr>
            <w:tcW w:w="1305"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50202</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会议费</w:t>
            </w:r>
          </w:p>
        </w:tc>
        <w:tc>
          <w:tcPr>
            <w:tcW w:w="147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305"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50203</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培训费</w:t>
            </w:r>
          </w:p>
        </w:tc>
        <w:tc>
          <w:tcPr>
            <w:tcW w:w="147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305"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50204</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专用材料购置费</w:t>
            </w:r>
          </w:p>
        </w:tc>
        <w:tc>
          <w:tcPr>
            <w:tcW w:w="147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w:t>
            </w: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305"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50205</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委托业务费</w:t>
            </w:r>
          </w:p>
        </w:tc>
        <w:tc>
          <w:tcPr>
            <w:tcW w:w="147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307.36</w:t>
            </w:r>
          </w:p>
        </w:tc>
        <w:tc>
          <w:tcPr>
            <w:tcW w:w="1305"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15268.0%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50206</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公务接待费</w:t>
            </w:r>
          </w:p>
        </w:tc>
        <w:tc>
          <w:tcPr>
            <w:tcW w:w="147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1305"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50208</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公务用车运行维护费</w:t>
            </w:r>
          </w:p>
        </w:tc>
        <w:tc>
          <w:tcPr>
            <w:tcW w:w="147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771</w:t>
            </w: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486.35</w:t>
            </w:r>
          </w:p>
        </w:tc>
        <w:tc>
          <w:tcPr>
            <w:tcW w:w="1305"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50209</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维修（护）费</w:t>
            </w:r>
          </w:p>
        </w:tc>
        <w:tc>
          <w:tcPr>
            <w:tcW w:w="147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w:t>
            </w: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94</w:t>
            </w:r>
          </w:p>
        </w:tc>
        <w:tc>
          <w:tcPr>
            <w:tcW w:w="1305"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50299</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其他商品和服务支出</w:t>
            </w:r>
          </w:p>
        </w:tc>
        <w:tc>
          <w:tcPr>
            <w:tcW w:w="147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48</w:t>
            </w: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177.78</w:t>
            </w:r>
          </w:p>
        </w:tc>
        <w:tc>
          <w:tcPr>
            <w:tcW w:w="1305"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270.4%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503</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机关资本性支出</w:t>
            </w:r>
          </w:p>
        </w:tc>
        <w:tc>
          <w:tcPr>
            <w:tcW w:w="147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305"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50306</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设备购置</w:t>
            </w:r>
          </w:p>
        </w:tc>
        <w:tc>
          <w:tcPr>
            <w:tcW w:w="1477"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305"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504</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机关资本性支出（基本建设）</w:t>
            </w:r>
          </w:p>
        </w:tc>
        <w:tc>
          <w:tcPr>
            <w:tcW w:w="1477"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1305"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50401</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房屋建筑物购建</w:t>
            </w:r>
          </w:p>
        </w:tc>
        <w:tc>
          <w:tcPr>
            <w:tcW w:w="1477"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1305"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50404</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设备购置</w:t>
            </w:r>
          </w:p>
        </w:tc>
        <w:tc>
          <w:tcPr>
            <w:tcW w:w="1477"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1305"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50405</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大型修缮</w:t>
            </w:r>
          </w:p>
        </w:tc>
        <w:tc>
          <w:tcPr>
            <w:tcW w:w="1477"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1305"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505</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对事业单位经常性补助</w:t>
            </w:r>
          </w:p>
        </w:tc>
        <w:tc>
          <w:tcPr>
            <w:tcW w:w="147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99883</w:t>
            </w: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92935.03</w:t>
            </w:r>
          </w:p>
        </w:tc>
        <w:tc>
          <w:tcPr>
            <w:tcW w:w="1305"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50501</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工资福利支出</w:t>
            </w:r>
          </w:p>
        </w:tc>
        <w:tc>
          <w:tcPr>
            <w:tcW w:w="147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99635</w:t>
            </w: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91342.7</w:t>
            </w:r>
          </w:p>
        </w:tc>
        <w:tc>
          <w:tcPr>
            <w:tcW w:w="1305"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50502</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商品和服务支出</w:t>
            </w:r>
          </w:p>
        </w:tc>
        <w:tc>
          <w:tcPr>
            <w:tcW w:w="147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247</w:t>
            </w: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1592.33</w:t>
            </w:r>
          </w:p>
        </w:tc>
        <w:tc>
          <w:tcPr>
            <w:tcW w:w="1305"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544.6%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506</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对事业单位资本性补助</w:t>
            </w:r>
          </w:p>
        </w:tc>
        <w:tc>
          <w:tcPr>
            <w:tcW w:w="1477" w:type="dxa"/>
            <w:shd w:val="clear" w:color="auto" w:fill="FFFFFF"/>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1305" w:type="dxa"/>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50601</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资本性支出</w:t>
            </w:r>
          </w:p>
        </w:tc>
        <w:tc>
          <w:tcPr>
            <w:tcW w:w="1477"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1305"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50602</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资本性支出（基本建设）</w:t>
            </w:r>
          </w:p>
        </w:tc>
        <w:tc>
          <w:tcPr>
            <w:tcW w:w="1477"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305"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507</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对企业补助</w:t>
            </w:r>
          </w:p>
        </w:tc>
        <w:tc>
          <w:tcPr>
            <w:tcW w:w="1477"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277</w:t>
            </w:r>
          </w:p>
        </w:tc>
        <w:tc>
          <w:tcPr>
            <w:tcW w:w="1305"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50799</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其他对企业补助</w:t>
            </w:r>
          </w:p>
        </w:tc>
        <w:tc>
          <w:tcPr>
            <w:tcW w:w="1477"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277</w:t>
            </w:r>
          </w:p>
        </w:tc>
        <w:tc>
          <w:tcPr>
            <w:tcW w:w="1305"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508</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对企业资本性支出</w:t>
            </w:r>
          </w:p>
        </w:tc>
        <w:tc>
          <w:tcPr>
            <w:tcW w:w="1477"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1305"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50803</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资本金注入</w:t>
            </w:r>
          </w:p>
        </w:tc>
        <w:tc>
          <w:tcPr>
            <w:tcW w:w="1477"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1305"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509</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对个人和家庭的补助</w:t>
            </w:r>
          </w:p>
        </w:tc>
        <w:tc>
          <w:tcPr>
            <w:tcW w:w="147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2851</w:t>
            </w: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6382.5</w:t>
            </w:r>
          </w:p>
        </w:tc>
        <w:tc>
          <w:tcPr>
            <w:tcW w:w="1305"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68050%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50901</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社会福利和救助</w:t>
            </w:r>
          </w:p>
        </w:tc>
        <w:tc>
          <w:tcPr>
            <w:tcW w:w="147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201</w:t>
            </w: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2353.85</w:t>
            </w:r>
          </w:p>
        </w:tc>
        <w:tc>
          <w:tcPr>
            <w:tcW w:w="1305"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1071.06%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50902</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助学金</w:t>
            </w:r>
          </w:p>
        </w:tc>
        <w:tc>
          <w:tcPr>
            <w:tcW w:w="147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542.29</w:t>
            </w:r>
          </w:p>
        </w:tc>
        <w:tc>
          <w:tcPr>
            <w:tcW w:w="1305"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50905</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离退休费</w:t>
            </w:r>
          </w:p>
        </w:tc>
        <w:tc>
          <w:tcPr>
            <w:tcW w:w="147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2650</w:t>
            </w: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3324.71</w:t>
            </w:r>
          </w:p>
        </w:tc>
        <w:tc>
          <w:tcPr>
            <w:tcW w:w="1305"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50999</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其他对个人和家庭的补助</w:t>
            </w:r>
          </w:p>
        </w:tc>
        <w:tc>
          <w:tcPr>
            <w:tcW w:w="147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161.65</w:t>
            </w:r>
          </w:p>
        </w:tc>
        <w:tc>
          <w:tcPr>
            <w:tcW w:w="1305"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510</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对社会保障基金补助</w:t>
            </w:r>
          </w:p>
        </w:tc>
        <w:tc>
          <w:tcPr>
            <w:tcW w:w="1477"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383.67</w:t>
            </w:r>
          </w:p>
        </w:tc>
        <w:tc>
          <w:tcPr>
            <w:tcW w:w="1305"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51002</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对社会保险基金补助</w:t>
            </w:r>
          </w:p>
        </w:tc>
        <w:tc>
          <w:tcPr>
            <w:tcW w:w="1477"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383.67</w:t>
            </w:r>
          </w:p>
        </w:tc>
        <w:tc>
          <w:tcPr>
            <w:tcW w:w="1305"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511</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债务利息及费用支出</w:t>
            </w:r>
          </w:p>
        </w:tc>
        <w:tc>
          <w:tcPr>
            <w:tcW w:w="1477"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2561.25</w:t>
            </w:r>
          </w:p>
        </w:tc>
        <w:tc>
          <w:tcPr>
            <w:tcW w:w="1305"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51101</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国内债务付息</w:t>
            </w:r>
          </w:p>
        </w:tc>
        <w:tc>
          <w:tcPr>
            <w:tcW w:w="1477"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2551</w:t>
            </w:r>
          </w:p>
        </w:tc>
        <w:tc>
          <w:tcPr>
            <w:tcW w:w="1305"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51103</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国内债务发行费用</w:t>
            </w:r>
          </w:p>
        </w:tc>
        <w:tc>
          <w:tcPr>
            <w:tcW w:w="1477"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10.25</w:t>
            </w:r>
          </w:p>
        </w:tc>
        <w:tc>
          <w:tcPr>
            <w:tcW w:w="1305"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512</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债务还本支出</w:t>
            </w:r>
          </w:p>
        </w:tc>
        <w:tc>
          <w:tcPr>
            <w:tcW w:w="1477"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255</w:t>
            </w:r>
          </w:p>
        </w:tc>
        <w:tc>
          <w:tcPr>
            <w:tcW w:w="1305"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51201</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国内债务还本</w:t>
            </w:r>
          </w:p>
        </w:tc>
        <w:tc>
          <w:tcPr>
            <w:tcW w:w="1477"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255</w:t>
            </w:r>
          </w:p>
        </w:tc>
        <w:tc>
          <w:tcPr>
            <w:tcW w:w="1305"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599</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其他支出</w:t>
            </w:r>
          </w:p>
        </w:tc>
        <w:tc>
          <w:tcPr>
            <w:tcW w:w="1477"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72.09</w:t>
            </w:r>
          </w:p>
        </w:tc>
        <w:tc>
          <w:tcPr>
            <w:tcW w:w="1305"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FFFFFF"/>
            <w:noWrap/>
            <w:vAlign w:val="top"/>
          </w:tcPr>
          <w:p>
            <w:pPr>
              <w:keepNext w:val="0"/>
              <w:keepLines w:val="0"/>
              <w:widowControl/>
              <w:suppressLineNumbers w:val="0"/>
              <w:jc w:val="left"/>
              <w:textAlignment w:val="top"/>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59999</w:t>
            </w:r>
          </w:p>
        </w:tc>
        <w:tc>
          <w:tcPr>
            <w:tcW w:w="3181"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其他支出</w:t>
            </w:r>
          </w:p>
        </w:tc>
        <w:tc>
          <w:tcPr>
            <w:tcW w:w="1477"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48"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72.09</w:t>
            </w:r>
          </w:p>
        </w:tc>
        <w:tc>
          <w:tcPr>
            <w:tcW w:w="1305"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0" w:type="dxa"/>
            <w:shd w:val="clear" w:color="auto" w:fill="auto"/>
            <w:noWrap/>
            <w:vAlign w:val="bottom"/>
          </w:tcPr>
          <w:p>
            <w:pPr>
              <w:jc w:val="both"/>
              <w:rPr>
                <w:rFonts w:hint="default" w:ascii="Times New Roman" w:hAnsi="Times New Roman" w:eastAsia="宋体" w:cs="Times New Roman"/>
                <w:i w:val="0"/>
                <w:iCs w:val="0"/>
                <w:color w:val="000000"/>
                <w:sz w:val="24"/>
                <w:szCs w:val="24"/>
                <w:u w:val="none"/>
              </w:rPr>
            </w:pPr>
          </w:p>
        </w:tc>
        <w:tc>
          <w:tcPr>
            <w:tcW w:w="3181" w:type="dxa"/>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合计</w:t>
            </w:r>
          </w:p>
        </w:tc>
        <w:tc>
          <w:tcPr>
            <w:tcW w:w="1477" w:type="dxa"/>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168276</w:t>
            </w:r>
          </w:p>
        </w:tc>
        <w:tc>
          <w:tcPr>
            <w:tcW w:w="1448" w:type="dxa"/>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174683.98</w:t>
            </w:r>
          </w:p>
        </w:tc>
        <w:tc>
          <w:tcPr>
            <w:tcW w:w="1305" w:type="dxa"/>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3.8%</w:t>
            </w:r>
          </w:p>
        </w:tc>
      </w:tr>
    </w:tbl>
    <w:p>
      <w:pPr>
        <w:rPr>
          <w:rFonts w:hint="default" w:ascii="Times New Roman" w:hAnsi="Times New Roman" w:cs="Times New Roman"/>
          <w:lang w:eastAsia="zh-Hans"/>
        </w:rPr>
      </w:pPr>
    </w:p>
    <w:tbl>
      <w:tblPr>
        <w:tblStyle w:val="8"/>
        <w:tblW w:w="888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986"/>
        <w:gridCol w:w="3728"/>
        <w:gridCol w:w="1432"/>
        <w:gridCol w:w="1390"/>
        <w:gridCol w:w="13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986" w:type="dxa"/>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表</w:t>
            </w:r>
            <w:r>
              <w:rPr>
                <w:rFonts w:hint="default" w:ascii="Times New Roman" w:hAnsi="Times New Roman" w:cs="Times New Roman"/>
                <w:i w:val="0"/>
                <w:color w:val="000000"/>
                <w:kern w:val="0"/>
                <w:sz w:val="20"/>
                <w:szCs w:val="20"/>
                <w:u w:val="none"/>
                <w:lang w:eastAsia="zh-CN" w:bidi="ar"/>
              </w:rPr>
              <w:t>7</w:t>
            </w:r>
          </w:p>
        </w:tc>
        <w:tc>
          <w:tcPr>
            <w:tcW w:w="3728" w:type="dxa"/>
            <w:noWrap w:val="0"/>
            <w:vAlign w:val="center"/>
          </w:tcPr>
          <w:p>
            <w:pPr>
              <w:rPr>
                <w:rFonts w:hint="default" w:ascii="Times New Roman" w:hAnsi="Times New Roman" w:eastAsia="宋体" w:cs="Times New Roman"/>
                <w:i w:val="0"/>
                <w:color w:val="000000"/>
                <w:sz w:val="20"/>
                <w:szCs w:val="20"/>
                <w:u w:val="none"/>
              </w:rPr>
            </w:pPr>
          </w:p>
        </w:tc>
        <w:tc>
          <w:tcPr>
            <w:tcW w:w="1432" w:type="dxa"/>
            <w:noWrap w:val="0"/>
            <w:vAlign w:val="center"/>
          </w:tcPr>
          <w:p>
            <w:pPr>
              <w:rPr>
                <w:rFonts w:hint="default" w:ascii="Times New Roman" w:hAnsi="Times New Roman" w:eastAsia="宋体" w:cs="Times New Roman"/>
                <w:i w:val="0"/>
                <w:color w:val="000000"/>
                <w:sz w:val="20"/>
                <w:szCs w:val="20"/>
                <w:u w:val="none"/>
              </w:rPr>
            </w:pPr>
          </w:p>
        </w:tc>
        <w:tc>
          <w:tcPr>
            <w:tcW w:w="1390" w:type="dxa"/>
            <w:noWrap w:val="0"/>
            <w:vAlign w:val="center"/>
          </w:tcPr>
          <w:p>
            <w:pPr>
              <w:rPr>
                <w:rFonts w:hint="default" w:ascii="Times New Roman" w:hAnsi="Times New Roman" w:eastAsia="宋体" w:cs="Times New Roman"/>
                <w:i w:val="0"/>
                <w:color w:val="000000"/>
                <w:sz w:val="20"/>
                <w:szCs w:val="20"/>
                <w:u w:val="none"/>
              </w:rPr>
            </w:pPr>
          </w:p>
        </w:tc>
        <w:tc>
          <w:tcPr>
            <w:tcW w:w="1350" w:type="dxa"/>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8886" w:type="dxa"/>
            <w:gridSpan w:val="5"/>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lang w:val="en-US"/>
              </w:rPr>
            </w:pPr>
            <w:r>
              <w:rPr>
                <w:rFonts w:hint="default" w:ascii="Times New Roman" w:hAnsi="Times New Roman" w:eastAsia="宋体" w:cs="Times New Roman"/>
                <w:b/>
                <w:bCs/>
                <w:i w:val="0"/>
                <w:color w:val="000000"/>
                <w:kern w:val="0"/>
                <w:sz w:val="20"/>
                <w:szCs w:val="20"/>
                <w:u w:val="none"/>
                <w:lang w:val="en-US" w:eastAsia="zh-CN" w:bidi="ar"/>
              </w:rPr>
              <w:t>202</w:t>
            </w:r>
            <w:r>
              <w:rPr>
                <w:rFonts w:hint="default" w:ascii="Times New Roman" w:hAnsi="Times New Roman" w:cs="Times New Roman"/>
                <w:b/>
                <w:bCs/>
                <w:i w:val="0"/>
                <w:color w:val="000000"/>
                <w:kern w:val="0"/>
                <w:sz w:val="20"/>
                <w:szCs w:val="20"/>
                <w:u w:val="none"/>
                <w:lang w:val="en-US" w:eastAsia="zh-CN" w:bidi="ar"/>
              </w:rPr>
              <w:t>5</w:t>
            </w:r>
            <w:r>
              <w:rPr>
                <w:rFonts w:hint="default" w:ascii="Times New Roman" w:hAnsi="Times New Roman" w:eastAsia="宋体" w:cs="Times New Roman"/>
                <w:b/>
                <w:bCs/>
                <w:i w:val="0"/>
                <w:color w:val="000000"/>
                <w:kern w:val="0"/>
                <w:sz w:val="20"/>
                <w:szCs w:val="20"/>
                <w:u w:val="none"/>
                <w:lang w:val="en-US" w:eastAsia="zh-CN" w:bidi="ar"/>
              </w:rPr>
              <w:t>年</w:t>
            </w:r>
            <w:r>
              <w:rPr>
                <w:rFonts w:hint="default" w:ascii="Times New Roman" w:hAnsi="Times New Roman" w:cs="Times New Roman"/>
                <w:b/>
                <w:bCs/>
                <w:i w:val="0"/>
                <w:color w:val="000000"/>
                <w:kern w:val="0"/>
                <w:sz w:val="20"/>
                <w:szCs w:val="20"/>
                <w:u w:val="none"/>
                <w:lang w:val="en-US" w:eastAsia="zh-CN" w:bidi="ar"/>
              </w:rPr>
              <w:t>泽普县一般公共预算</w:t>
            </w:r>
            <w:r>
              <w:rPr>
                <w:rFonts w:hint="default" w:ascii="Times New Roman" w:hAnsi="Times New Roman" w:eastAsia="宋体" w:cs="Times New Roman"/>
                <w:b/>
                <w:bCs/>
                <w:i w:val="0"/>
                <w:color w:val="000000"/>
                <w:kern w:val="0"/>
                <w:sz w:val="20"/>
                <w:szCs w:val="20"/>
                <w:u w:val="none"/>
                <w:lang w:val="en-US" w:eastAsia="zh-CN" w:bidi="ar"/>
              </w:rPr>
              <w:t>对下</w:t>
            </w:r>
            <w:r>
              <w:rPr>
                <w:rFonts w:hint="default" w:ascii="Times New Roman" w:hAnsi="Times New Roman" w:cs="Times New Roman"/>
                <w:b/>
                <w:bCs/>
                <w:i w:val="0"/>
                <w:color w:val="000000"/>
                <w:kern w:val="0"/>
                <w:sz w:val="20"/>
                <w:szCs w:val="20"/>
                <w:u w:val="none"/>
                <w:lang w:val="en-US" w:eastAsia="zh-Hans" w:bidi="ar"/>
              </w:rPr>
              <w:t>转移支付</w:t>
            </w:r>
            <w:r>
              <w:rPr>
                <w:rFonts w:hint="default" w:ascii="Times New Roman" w:hAnsi="Times New Roman" w:eastAsia="宋体" w:cs="Times New Roman"/>
                <w:b/>
                <w:bCs/>
                <w:i w:val="0"/>
                <w:color w:val="000000"/>
                <w:kern w:val="0"/>
                <w:sz w:val="20"/>
                <w:szCs w:val="20"/>
                <w:u w:val="none"/>
                <w:lang w:val="en-US" w:eastAsia="zh-CN" w:bidi="ar"/>
              </w:rPr>
              <w:t>安排情况</w:t>
            </w:r>
            <w:r>
              <w:rPr>
                <w:rFonts w:hint="default" w:ascii="Times New Roman" w:hAnsi="Times New Roman" w:cs="Times New Roman"/>
                <w:b/>
                <w:bCs/>
                <w:i w:val="0"/>
                <w:color w:val="000000"/>
                <w:kern w:val="0"/>
                <w:sz w:val="20"/>
                <w:szCs w:val="20"/>
                <w:u w:val="none"/>
                <w:lang w:val="en-US" w:eastAsia="zh-CN" w:bidi="ar"/>
              </w:rPr>
              <w:t>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986" w:type="dxa"/>
            <w:noWrap w:val="0"/>
            <w:vAlign w:val="center"/>
          </w:tcPr>
          <w:p>
            <w:pPr>
              <w:jc w:val="center"/>
              <w:rPr>
                <w:rFonts w:hint="default" w:ascii="Times New Roman" w:hAnsi="Times New Roman" w:eastAsia="宋体" w:cs="Times New Roman"/>
                <w:i w:val="0"/>
                <w:color w:val="000000"/>
                <w:sz w:val="20"/>
                <w:szCs w:val="20"/>
                <w:u w:val="none"/>
              </w:rPr>
            </w:pPr>
          </w:p>
        </w:tc>
        <w:tc>
          <w:tcPr>
            <w:tcW w:w="3728" w:type="dxa"/>
            <w:noWrap w:val="0"/>
            <w:vAlign w:val="center"/>
          </w:tcPr>
          <w:p>
            <w:pPr>
              <w:jc w:val="center"/>
              <w:rPr>
                <w:rFonts w:hint="default" w:ascii="Times New Roman" w:hAnsi="Times New Roman" w:eastAsia="宋体" w:cs="Times New Roman"/>
                <w:i w:val="0"/>
                <w:color w:val="000000"/>
                <w:sz w:val="20"/>
                <w:szCs w:val="20"/>
                <w:u w:val="none"/>
              </w:rPr>
            </w:pPr>
          </w:p>
        </w:tc>
        <w:tc>
          <w:tcPr>
            <w:tcW w:w="1432" w:type="dxa"/>
            <w:noWrap w:val="0"/>
            <w:vAlign w:val="center"/>
          </w:tcPr>
          <w:p>
            <w:pPr>
              <w:jc w:val="center"/>
              <w:rPr>
                <w:rFonts w:hint="default" w:ascii="Times New Roman" w:hAnsi="Times New Roman" w:eastAsia="宋体" w:cs="Times New Roman"/>
                <w:i w:val="0"/>
                <w:color w:val="000000"/>
                <w:sz w:val="20"/>
                <w:szCs w:val="20"/>
                <w:u w:val="none"/>
              </w:rPr>
            </w:pPr>
          </w:p>
        </w:tc>
        <w:tc>
          <w:tcPr>
            <w:tcW w:w="1390" w:type="dxa"/>
            <w:noWrap w:val="0"/>
            <w:vAlign w:val="center"/>
          </w:tcPr>
          <w:p>
            <w:pPr>
              <w:jc w:val="center"/>
              <w:rPr>
                <w:rFonts w:hint="default" w:ascii="Times New Roman" w:hAnsi="Times New Roman" w:eastAsia="宋体" w:cs="Times New Roman"/>
                <w:i w:val="0"/>
                <w:color w:val="000000"/>
                <w:sz w:val="20"/>
                <w:szCs w:val="20"/>
                <w:u w:val="none"/>
              </w:rPr>
            </w:pPr>
          </w:p>
        </w:tc>
        <w:tc>
          <w:tcPr>
            <w:tcW w:w="1350"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spacing w:line="200" w:lineRule="exact"/>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科目编码</w:t>
            </w:r>
          </w:p>
        </w:tc>
        <w:tc>
          <w:tcPr>
            <w:tcW w:w="372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spacing w:line="200" w:lineRule="exact"/>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项</w:t>
            </w:r>
            <w:r>
              <w:rPr>
                <w:rFonts w:hint="default" w:ascii="Times New Roman" w:hAnsi="Times New Roman" w:cs="Times New Roman"/>
                <w:b/>
                <w:bCs/>
                <w:i w:val="0"/>
                <w:color w:val="000000"/>
                <w:kern w:val="0"/>
                <w:sz w:val="20"/>
                <w:szCs w:val="20"/>
                <w:u w:val="none"/>
                <w:lang w:val="en-US" w:eastAsia="zh-CN" w:bidi="ar"/>
              </w:rPr>
              <w:t xml:space="preserve">   </w:t>
            </w:r>
            <w:r>
              <w:rPr>
                <w:rFonts w:hint="default" w:ascii="Times New Roman" w:hAnsi="Times New Roman" w:eastAsia="宋体" w:cs="Times New Roman"/>
                <w:b/>
                <w:bCs/>
                <w:i w:val="0"/>
                <w:color w:val="000000"/>
                <w:kern w:val="0"/>
                <w:sz w:val="20"/>
                <w:szCs w:val="20"/>
                <w:u w:val="none"/>
                <w:lang w:val="en-US" w:eastAsia="zh-CN" w:bidi="ar"/>
              </w:rPr>
              <w:t>目</w:t>
            </w:r>
          </w:p>
        </w:tc>
        <w:tc>
          <w:tcPr>
            <w:tcW w:w="143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spacing w:line="200" w:lineRule="exact"/>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202</w:t>
            </w:r>
            <w:r>
              <w:rPr>
                <w:rFonts w:hint="default" w:ascii="Times New Roman" w:hAnsi="Times New Roman" w:cs="Times New Roman"/>
                <w:b/>
                <w:bCs/>
                <w:i w:val="0"/>
                <w:color w:val="000000"/>
                <w:kern w:val="0"/>
                <w:sz w:val="20"/>
                <w:szCs w:val="20"/>
                <w:u w:val="none"/>
                <w:lang w:val="en-US" w:eastAsia="zh-CN" w:bidi="ar"/>
              </w:rPr>
              <w:t>4</w:t>
            </w:r>
            <w:r>
              <w:rPr>
                <w:rFonts w:hint="default" w:ascii="Times New Roman" w:hAnsi="Times New Roman" w:eastAsia="宋体" w:cs="Times New Roman"/>
                <w:b/>
                <w:bCs/>
                <w:i w:val="0"/>
                <w:color w:val="000000"/>
                <w:kern w:val="0"/>
                <w:sz w:val="20"/>
                <w:szCs w:val="20"/>
                <w:u w:val="none"/>
                <w:lang w:val="en-US" w:eastAsia="zh-CN" w:bidi="ar"/>
              </w:rPr>
              <w:t>年预算数</w:t>
            </w:r>
          </w:p>
        </w:tc>
        <w:tc>
          <w:tcPr>
            <w:tcW w:w="139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spacing w:line="200" w:lineRule="exact"/>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202</w:t>
            </w:r>
            <w:r>
              <w:rPr>
                <w:rFonts w:hint="default" w:ascii="Times New Roman" w:hAnsi="Times New Roman" w:cs="Times New Roman"/>
                <w:b/>
                <w:bCs/>
                <w:i w:val="0"/>
                <w:color w:val="000000"/>
                <w:kern w:val="0"/>
                <w:sz w:val="20"/>
                <w:szCs w:val="20"/>
                <w:u w:val="none"/>
                <w:lang w:val="en-US" w:eastAsia="zh-CN" w:bidi="ar"/>
              </w:rPr>
              <w:t>5</w:t>
            </w:r>
            <w:r>
              <w:rPr>
                <w:rFonts w:hint="default" w:ascii="Times New Roman" w:hAnsi="Times New Roman" w:eastAsia="宋体" w:cs="Times New Roman"/>
                <w:b/>
                <w:bCs/>
                <w:i w:val="0"/>
                <w:color w:val="000000"/>
                <w:kern w:val="0"/>
                <w:sz w:val="20"/>
                <w:szCs w:val="20"/>
                <w:u w:val="none"/>
                <w:lang w:val="en-US" w:eastAsia="zh-CN" w:bidi="ar"/>
              </w:rPr>
              <w:t>年预算数</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比上年</w:t>
            </w:r>
            <w:r>
              <w:rPr>
                <w:rFonts w:hint="default" w:ascii="Times New Roman" w:hAnsi="Times New Roman" w:cs="Times New Roman"/>
                <w:b/>
                <w:bCs/>
                <w:i w:val="0"/>
                <w:color w:val="000000"/>
                <w:kern w:val="0"/>
                <w:sz w:val="20"/>
                <w:szCs w:val="20"/>
                <w:u w:val="none"/>
                <w:lang w:val="en-US" w:eastAsia="zh-CN" w:bidi="ar"/>
              </w:rPr>
              <w:t>预算数</w:t>
            </w:r>
            <w:r>
              <w:rPr>
                <w:rFonts w:hint="default" w:ascii="Times New Roman" w:hAnsi="Times New Roman" w:eastAsia="宋体" w:cs="Times New Roman"/>
                <w:b/>
                <w:bCs/>
                <w:i w:val="0"/>
                <w:color w:val="000000"/>
                <w:kern w:val="0"/>
                <w:sz w:val="20"/>
                <w:szCs w:val="20"/>
                <w:u w:val="none"/>
                <w:lang w:val="en-US" w:eastAsia="zh-CN" w:bidi="ar"/>
              </w:rPr>
              <w:t>增 (减)%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sz w:val="20"/>
                <w:szCs w:val="20"/>
                <w:u w:val="none"/>
              </w:rPr>
            </w:pPr>
          </w:p>
        </w:tc>
        <w:tc>
          <w:tcPr>
            <w:tcW w:w="372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43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23001</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一、返还性支出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2300102</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所得税基数返还支出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2300103</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成品油税费改革税收返还支出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2300104</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增值税税收返还支出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2300105</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消费税税收返还支出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2300106</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增值税“五五分享”税收返还支出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二、一般性转移支付</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2300201</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体制补助支出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2300202</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均衡性转移支付支出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2300207</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县级基本财力保障机制奖补资金支出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2300208</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w:t>
            </w:r>
            <w:r>
              <w:rPr>
                <w:rFonts w:hint="default" w:ascii="Times New Roman" w:hAnsi="Times New Roman" w:cs="Times New Roman"/>
                <w:i w:val="0"/>
                <w:color w:val="000000"/>
                <w:kern w:val="0"/>
                <w:sz w:val="20"/>
                <w:szCs w:val="20"/>
                <w:u w:val="none"/>
                <w:lang w:val="en-US" w:eastAsia="zh-CN" w:bidi="ar"/>
              </w:rPr>
              <w:t xml:space="preserve">  </w:t>
            </w:r>
            <w:r>
              <w:rPr>
                <w:rFonts w:hint="default" w:ascii="Times New Roman" w:hAnsi="Times New Roman" w:eastAsia="宋体" w:cs="Times New Roman"/>
                <w:i w:val="0"/>
                <w:color w:val="000000"/>
                <w:kern w:val="0"/>
                <w:sz w:val="20"/>
                <w:szCs w:val="20"/>
                <w:u w:val="none"/>
                <w:lang w:val="en-US" w:eastAsia="zh-CN" w:bidi="ar"/>
              </w:rPr>
              <w:t>结算补助支出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2300212</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资源枯竭型城市转移支付补助支出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2300214</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企业事业单位划转补助支出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2300225</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产粮（油）大县奖励资金支出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2300226</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重点生态功能区转移支付支出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2300227</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固定数额补助支出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2300228</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革命老区转移支付支出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2300229</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民族地区转移支付支出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2300230</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边境地区转移支付支出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2300231</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 xml:space="preserve">   巩固脱贫攻坚成果衔接乡村振兴转移支付支出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2300241</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 xml:space="preserve">   一般公共服务共同财政事权转移支付支出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2300242</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外交共同财政事权转移支付支出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2300243</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国防共同财政事权转移支付支出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2300244</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公共安全共同财政事权转移支付支出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2300245</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教育共同财政事权转移支付支出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2300246</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科学技术共同财政事权转移支付支出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2300247</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文化旅游体育与传媒共同财政事权转移支付支出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2300248</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社会保障和就业共同财政事权转移支付支出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2300249</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医疗卫生共同财政事权转移支付支出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2300250</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节能环保共同财政事权转移支付支出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2300251</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城乡社区共同财政事权转移支付支出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2300252</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农林水共同财政事权转移支付支出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2300253</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交通运输共同财政事权转移支付支出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2300254</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资源勘探工业信息等共同财政事权转移支付支出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2300255</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商业服务业等共同财政事权转移支付支出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2300256</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金融共同财政事权转移支付支出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2300257</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自然资源海洋气象等共同财政事权转移支付支出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2300258</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住房保障共同财政事权转移支付支出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2300259</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粮油物资储备共同财政事权转移支付支出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2300260</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灾害防治及应急管理共同财政事权转移支付支出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2300269</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其他共同财政事权转移支付支出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cs="Times New Roman"/>
                <w:i w:val="0"/>
                <w:color w:val="000000"/>
                <w:sz w:val="20"/>
                <w:szCs w:val="20"/>
                <w:u w:val="none"/>
              </w:rPr>
            </w:pP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其他一般性转移支付支出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23003</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三、专项转移支付</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2300301</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400" w:firstLineChars="20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一般公共服务</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2300302</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外交</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2300303</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国防</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2300304</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公共安全</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2300305</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教育</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2300306</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科学技术</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2300307</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文化旅游体育与传媒</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2300308</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社会保障和就业</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2300310</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卫生健康</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2300311</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节能环保</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2300312</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城乡社区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2300313</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农林水</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2300314</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交通运输</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2300315</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资源勘探工业信息等</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2300316</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商业服务业等</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2300317</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金融</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2300320</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自然资源海洋气象等</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u w:val="none"/>
              </w:rPr>
            </w:pP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lang w:val="en-US"/>
              </w:rPr>
            </w:pPr>
            <w:r>
              <w:rPr>
                <w:rFonts w:hint="default" w:ascii="Times New Roman" w:hAnsi="Times New Roman" w:cs="Times New Roman"/>
                <w:b/>
                <w:i w:val="0"/>
                <w:color w:val="000000"/>
                <w:kern w:val="0"/>
                <w:sz w:val="20"/>
                <w:szCs w:val="20"/>
                <w:u w:val="none"/>
                <w:lang w:val="en-US" w:eastAsia="zh-CN" w:bidi="ar"/>
              </w:rPr>
              <w:t>泽普县</w:t>
            </w:r>
            <w:r>
              <w:rPr>
                <w:rFonts w:hint="default" w:ascii="Times New Roman" w:hAnsi="Times New Roman" w:eastAsia="宋体" w:cs="Times New Roman"/>
                <w:b/>
                <w:i w:val="0"/>
                <w:color w:val="000000"/>
                <w:kern w:val="0"/>
                <w:sz w:val="20"/>
                <w:szCs w:val="20"/>
                <w:u w:val="none"/>
                <w:lang w:val="en-US" w:eastAsia="zh-CN" w:bidi="ar"/>
              </w:rPr>
              <w:t>对</w:t>
            </w:r>
            <w:r>
              <w:rPr>
                <w:rFonts w:hint="default" w:ascii="Times New Roman" w:hAnsi="Times New Roman" w:cs="Times New Roman"/>
                <w:b/>
                <w:i w:val="0"/>
                <w:color w:val="000000"/>
                <w:kern w:val="0"/>
                <w:sz w:val="20"/>
                <w:szCs w:val="20"/>
                <w:u w:val="none"/>
                <w:lang w:val="en-US" w:eastAsia="zh-CN" w:bidi="ar"/>
              </w:rPr>
              <w:t>下</w:t>
            </w:r>
            <w:r>
              <w:rPr>
                <w:rFonts w:hint="default" w:ascii="Times New Roman" w:hAnsi="Times New Roman" w:eastAsia="宋体" w:cs="Times New Roman"/>
                <w:b/>
                <w:i w:val="0"/>
                <w:color w:val="000000"/>
                <w:kern w:val="0"/>
                <w:sz w:val="20"/>
                <w:szCs w:val="20"/>
                <w:u w:val="none"/>
                <w:lang w:val="en-US" w:eastAsia="zh-CN" w:bidi="ar"/>
              </w:rPr>
              <w:t>税收返还和转移支付</w:t>
            </w:r>
            <w:r>
              <w:rPr>
                <w:rFonts w:hint="default" w:ascii="Times New Roman" w:hAnsi="Times New Roman" w:cs="Times New Roman"/>
                <w:b/>
                <w:i w:val="0"/>
                <w:color w:val="000000"/>
                <w:kern w:val="0"/>
                <w:sz w:val="20"/>
                <w:szCs w:val="20"/>
                <w:u w:val="none"/>
                <w:lang w:val="en-US" w:eastAsia="zh-CN" w:bidi="ar"/>
              </w:rPr>
              <w:t>合计</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0</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r>
              <w:rPr>
                <w:rFonts w:hint="eastAsia"/>
              </w:rPr>
              <w:t>0.0%</w:t>
            </w:r>
          </w:p>
        </w:tc>
      </w:tr>
    </w:tbl>
    <w:p>
      <w:pPr>
        <w:pStyle w:val="3"/>
        <w:ind w:left="0" w:leftChars="0" w:firstLine="0" w:firstLineChars="0"/>
        <w:rPr>
          <w:rFonts w:hint="default" w:ascii="Times New Roman" w:hAnsi="Times New Roman" w:cs="Times New Roman"/>
          <w:b/>
          <w:i w:val="0"/>
          <w:color w:val="000000"/>
          <w:kern w:val="0"/>
          <w:sz w:val="20"/>
          <w:szCs w:val="20"/>
          <w:u w:val="none"/>
          <w:lang w:val="en-US" w:eastAsia="zh-CN" w:bidi="ar"/>
        </w:rPr>
      </w:pPr>
      <w:r>
        <w:rPr>
          <w:rFonts w:hint="default" w:ascii="Times New Roman" w:hAnsi="Times New Roman" w:cs="Times New Roman"/>
          <w:b/>
          <w:i w:val="0"/>
          <w:color w:val="000000"/>
          <w:kern w:val="0"/>
          <w:sz w:val="22"/>
          <w:szCs w:val="22"/>
          <w:u w:val="none"/>
          <w:lang w:val="en-US" w:eastAsia="zh-CN" w:bidi="ar"/>
        </w:rPr>
        <w:t>备注：2025年泽普县无一般公共预算对下</w:t>
      </w:r>
      <w:r>
        <w:rPr>
          <w:rFonts w:hint="default" w:ascii="Times New Roman" w:hAnsi="Times New Roman" w:cs="Times New Roman"/>
          <w:b/>
          <w:i w:val="0"/>
          <w:color w:val="000000"/>
          <w:kern w:val="0"/>
          <w:sz w:val="22"/>
          <w:szCs w:val="22"/>
          <w:u w:val="none"/>
          <w:lang w:val="en-US" w:eastAsia="zh-Hans" w:bidi="ar"/>
        </w:rPr>
        <w:t>转移支付</w:t>
      </w:r>
      <w:r>
        <w:rPr>
          <w:rFonts w:hint="default" w:ascii="Times New Roman" w:hAnsi="Times New Roman" w:cs="Times New Roman"/>
          <w:b/>
          <w:i w:val="0"/>
          <w:color w:val="000000"/>
          <w:kern w:val="0"/>
          <w:sz w:val="22"/>
          <w:szCs w:val="22"/>
          <w:u w:val="none"/>
          <w:lang w:val="en-US" w:eastAsia="zh-CN" w:bidi="ar"/>
        </w:rPr>
        <w:t>安排</w:t>
      </w:r>
    </w:p>
    <w:p>
      <w:pPr>
        <w:rPr>
          <w:rFonts w:hint="default"/>
          <w:lang w:val="en-US" w:eastAsia="zh-CN"/>
        </w:rPr>
      </w:pPr>
      <w:r>
        <w:rPr>
          <w:rFonts w:hint="eastAsia"/>
          <w:lang w:val="en-US" w:eastAsia="zh-CN"/>
        </w:rPr>
        <w:t xml:space="preserve"> </w:t>
      </w:r>
    </w:p>
    <w:tbl>
      <w:tblPr>
        <w:tblStyle w:val="8"/>
        <w:tblW w:w="889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3856"/>
        <w:gridCol w:w="694"/>
        <w:gridCol w:w="856"/>
        <w:gridCol w:w="1200"/>
        <w:gridCol w:w="1460"/>
        <w:gridCol w:w="8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51" w:hRule="atLeast"/>
          <w:jc w:val="center"/>
        </w:trPr>
        <w:tc>
          <w:tcPr>
            <w:tcW w:w="3856" w:type="dxa"/>
            <w:tcBorders>
              <w:top w:val="nil"/>
              <w:left w:val="nil"/>
              <w:bottom w:val="nil"/>
              <w:right w:val="nil"/>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表</w:t>
            </w:r>
            <w:r>
              <w:rPr>
                <w:rFonts w:hint="default" w:ascii="Times New Roman" w:hAnsi="Times New Roman" w:cs="Times New Roman"/>
                <w:i w:val="0"/>
                <w:color w:val="000000"/>
                <w:kern w:val="0"/>
                <w:sz w:val="20"/>
                <w:szCs w:val="20"/>
                <w:u w:val="none"/>
                <w:lang w:eastAsia="zh-CN" w:bidi="ar"/>
              </w:rPr>
              <w:t>8</w:t>
            </w:r>
          </w:p>
        </w:tc>
        <w:tc>
          <w:tcPr>
            <w:tcW w:w="694" w:type="dxa"/>
            <w:tcBorders>
              <w:top w:val="nil"/>
              <w:left w:val="nil"/>
              <w:bottom w:val="nil"/>
              <w:right w:val="nil"/>
            </w:tcBorders>
            <w:noWrap w:val="0"/>
            <w:vAlign w:val="center"/>
          </w:tcPr>
          <w:p>
            <w:pPr>
              <w:rPr>
                <w:rFonts w:hint="default" w:ascii="Times New Roman" w:hAnsi="Times New Roman" w:eastAsia="宋体" w:cs="Times New Roman"/>
                <w:i w:val="0"/>
                <w:color w:val="000000"/>
                <w:sz w:val="24"/>
                <w:szCs w:val="24"/>
                <w:u w:val="none"/>
              </w:rPr>
            </w:pPr>
          </w:p>
        </w:tc>
        <w:tc>
          <w:tcPr>
            <w:tcW w:w="856" w:type="dxa"/>
            <w:tcBorders>
              <w:top w:val="nil"/>
              <w:left w:val="nil"/>
              <w:bottom w:val="nil"/>
              <w:right w:val="nil"/>
            </w:tcBorders>
            <w:noWrap w:val="0"/>
            <w:vAlign w:val="center"/>
          </w:tcPr>
          <w:p>
            <w:pPr>
              <w:rPr>
                <w:rFonts w:hint="default" w:ascii="Times New Roman" w:hAnsi="Times New Roman" w:eastAsia="宋体" w:cs="Times New Roman"/>
                <w:i w:val="0"/>
                <w:color w:val="000000"/>
                <w:sz w:val="24"/>
                <w:szCs w:val="24"/>
                <w:u w:val="none"/>
              </w:rPr>
            </w:pPr>
          </w:p>
        </w:tc>
        <w:tc>
          <w:tcPr>
            <w:tcW w:w="1200" w:type="dxa"/>
            <w:tcBorders>
              <w:top w:val="nil"/>
              <w:left w:val="nil"/>
              <w:bottom w:val="nil"/>
              <w:right w:val="nil"/>
            </w:tcBorders>
            <w:noWrap w:val="0"/>
            <w:vAlign w:val="center"/>
          </w:tcPr>
          <w:p>
            <w:pPr>
              <w:rPr>
                <w:rFonts w:hint="default" w:ascii="Times New Roman" w:hAnsi="Times New Roman" w:eastAsia="宋体" w:cs="Times New Roman"/>
                <w:i w:val="0"/>
                <w:color w:val="000000"/>
                <w:sz w:val="24"/>
                <w:szCs w:val="24"/>
                <w:u w:val="none"/>
              </w:rPr>
            </w:pPr>
          </w:p>
        </w:tc>
        <w:tc>
          <w:tcPr>
            <w:tcW w:w="1460" w:type="dxa"/>
            <w:tcBorders>
              <w:top w:val="nil"/>
              <w:left w:val="nil"/>
              <w:bottom w:val="nil"/>
              <w:right w:val="nil"/>
            </w:tcBorders>
            <w:noWrap w:val="0"/>
            <w:vAlign w:val="center"/>
          </w:tcPr>
          <w:p>
            <w:pPr>
              <w:rPr>
                <w:rFonts w:hint="default" w:ascii="Times New Roman" w:hAnsi="Times New Roman" w:eastAsia="宋体" w:cs="Times New Roman"/>
                <w:i w:val="0"/>
                <w:color w:val="000000"/>
                <w:sz w:val="24"/>
                <w:szCs w:val="24"/>
                <w:u w:val="none"/>
              </w:rPr>
            </w:pPr>
          </w:p>
        </w:tc>
        <w:tc>
          <w:tcPr>
            <w:tcW w:w="830" w:type="dxa"/>
            <w:tcBorders>
              <w:top w:val="nil"/>
              <w:left w:val="nil"/>
              <w:bottom w:val="nil"/>
              <w:right w:val="nil"/>
            </w:tcBorders>
            <w:noWrap w:val="0"/>
            <w:vAlign w:val="center"/>
          </w:tcPr>
          <w:p>
            <w:pPr>
              <w:rPr>
                <w:rFonts w:hint="default" w:ascii="Times New Roman" w:hAnsi="Times New Roman" w:eastAsia="宋体" w:cs="Times New Roman"/>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39" w:hRule="atLeast"/>
          <w:jc w:val="center"/>
        </w:trPr>
        <w:tc>
          <w:tcPr>
            <w:tcW w:w="8896"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b/>
                <w:i w:val="0"/>
                <w:color w:val="000000"/>
                <w:kern w:val="0"/>
                <w:sz w:val="20"/>
                <w:szCs w:val="20"/>
                <w:u w:val="none"/>
                <w:lang w:val="en-US" w:eastAsia="zh-CN" w:bidi="ar"/>
              </w:rPr>
              <w:t>202</w:t>
            </w:r>
            <w:r>
              <w:rPr>
                <w:rFonts w:hint="default" w:ascii="Times New Roman" w:hAnsi="Times New Roman" w:cs="Times New Roman"/>
                <w:b/>
                <w:i w:val="0"/>
                <w:color w:val="000000"/>
                <w:kern w:val="0"/>
                <w:sz w:val="20"/>
                <w:szCs w:val="20"/>
                <w:u w:val="none"/>
                <w:lang w:val="en-US" w:eastAsia="zh-CN" w:bidi="ar"/>
              </w:rPr>
              <w:t>5</w:t>
            </w:r>
            <w:r>
              <w:rPr>
                <w:rFonts w:hint="default" w:ascii="Times New Roman" w:hAnsi="Times New Roman" w:eastAsia="宋体" w:cs="Times New Roman"/>
                <w:b/>
                <w:i w:val="0"/>
                <w:color w:val="000000"/>
                <w:kern w:val="0"/>
                <w:sz w:val="20"/>
                <w:szCs w:val="20"/>
                <w:u w:val="none"/>
                <w:lang w:val="en-US" w:eastAsia="zh-CN" w:bidi="ar"/>
              </w:rPr>
              <w:t>年</w:t>
            </w:r>
            <w:r>
              <w:rPr>
                <w:rFonts w:hint="default" w:ascii="Times New Roman" w:hAnsi="Times New Roman" w:cs="Times New Roman"/>
                <w:b/>
                <w:i w:val="0"/>
                <w:color w:val="000000"/>
                <w:kern w:val="0"/>
                <w:sz w:val="20"/>
                <w:szCs w:val="20"/>
                <w:u w:val="none"/>
                <w:lang w:val="en-US" w:eastAsia="zh-CN" w:bidi="ar"/>
              </w:rPr>
              <w:t>泽普县一般公共预算</w:t>
            </w:r>
            <w:r>
              <w:rPr>
                <w:rFonts w:hint="default" w:ascii="Times New Roman" w:hAnsi="Times New Roman" w:eastAsia="宋体" w:cs="Times New Roman"/>
                <w:b/>
                <w:i w:val="0"/>
                <w:color w:val="000000"/>
                <w:kern w:val="0"/>
                <w:sz w:val="20"/>
                <w:szCs w:val="20"/>
                <w:u w:val="none"/>
                <w:lang w:val="en-US" w:eastAsia="zh-CN" w:bidi="ar"/>
              </w:rPr>
              <w:t>对下</w:t>
            </w:r>
            <w:r>
              <w:rPr>
                <w:rFonts w:hint="default" w:ascii="Times New Roman" w:hAnsi="Times New Roman" w:cs="Times New Roman"/>
                <w:b/>
                <w:i w:val="0"/>
                <w:color w:val="000000"/>
                <w:kern w:val="0"/>
                <w:sz w:val="20"/>
                <w:szCs w:val="20"/>
                <w:u w:val="none"/>
                <w:lang w:val="en-US" w:eastAsia="zh-Hans" w:bidi="ar"/>
              </w:rPr>
              <w:t>转移支付</w:t>
            </w:r>
            <w:r>
              <w:rPr>
                <w:rFonts w:hint="default" w:ascii="Times New Roman" w:hAnsi="Times New Roman" w:eastAsia="宋体" w:cs="Times New Roman"/>
                <w:b/>
                <w:i w:val="0"/>
                <w:color w:val="000000"/>
                <w:kern w:val="0"/>
                <w:sz w:val="20"/>
                <w:szCs w:val="20"/>
                <w:u w:val="none"/>
                <w:lang w:val="en-US" w:eastAsia="zh-CN" w:bidi="ar"/>
              </w:rPr>
              <w:t>情况</w:t>
            </w:r>
            <w:r>
              <w:rPr>
                <w:rFonts w:hint="default" w:ascii="Times New Roman" w:hAnsi="Times New Roman" w:cs="Times New Roman"/>
                <w:b/>
                <w:i w:val="0"/>
                <w:color w:val="000000"/>
                <w:kern w:val="0"/>
                <w:sz w:val="20"/>
                <w:szCs w:val="20"/>
                <w:u w:val="none"/>
                <w:lang w:val="en-US" w:eastAsia="zh-CN" w:bidi="ar"/>
              </w:rPr>
              <w:t>表</w:t>
            </w:r>
            <w:r>
              <w:rPr>
                <w:rFonts w:hint="default" w:ascii="Times New Roman" w:hAnsi="Times New Roman" w:eastAsia="宋体" w:cs="Times New Roman"/>
                <w:b/>
                <w:i w:val="0"/>
                <w:color w:val="000000"/>
                <w:kern w:val="0"/>
                <w:sz w:val="20"/>
                <w:szCs w:val="20"/>
                <w:u w:val="none"/>
                <w:lang w:val="en-US" w:eastAsia="zh-CN" w:bidi="ar"/>
              </w:rPr>
              <w:t>(分地区、项目)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jc w:val="center"/>
        </w:trPr>
        <w:tc>
          <w:tcPr>
            <w:tcW w:w="3856" w:type="dxa"/>
            <w:tcBorders>
              <w:top w:val="nil"/>
              <w:left w:val="nil"/>
              <w:bottom w:val="single" w:color="auto" w:sz="4" w:space="0"/>
              <w:right w:val="nil"/>
            </w:tcBorders>
            <w:noWrap w:val="0"/>
            <w:vAlign w:val="center"/>
          </w:tcPr>
          <w:p>
            <w:pPr>
              <w:jc w:val="center"/>
              <w:rPr>
                <w:rFonts w:hint="default" w:ascii="Times New Roman" w:hAnsi="Times New Roman" w:eastAsia="宋体" w:cs="Times New Roman"/>
                <w:b/>
                <w:i w:val="0"/>
                <w:color w:val="000000"/>
                <w:sz w:val="20"/>
                <w:szCs w:val="20"/>
                <w:u w:val="none"/>
              </w:rPr>
            </w:pPr>
          </w:p>
        </w:tc>
        <w:tc>
          <w:tcPr>
            <w:tcW w:w="694" w:type="dxa"/>
            <w:tcBorders>
              <w:top w:val="nil"/>
              <w:left w:val="nil"/>
              <w:bottom w:val="single" w:color="auto" w:sz="4" w:space="0"/>
              <w:right w:val="nil"/>
            </w:tcBorders>
            <w:noWrap w:val="0"/>
            <w:vAlign w:val="center"/>
          </w:tcPr>
          <w:p>
            <w:pPr>
              <w:jc w:val="center"/>
              <w:rPr>
                <w:rFonts w:hint="default" w:ascii="Times New Roman" w:hAnsi="Times New Roman" w:eastAsia="宋体" w:cs="Times New Roman"/>
                <w:b/>
                <w:i w:val="0"/>
                <w:color w:val="000000"/>
                <w:sz w:val="20"/>
                <w:szCs w:val="20"/>
                <w:u w:val="none"/>
              </w:rPr>
            </w:pPr>
          </w:p>
        </w:tc>
        <w:tc>
          <w:tcPr>
            <w:tcW w:w="856" w:type="dxa"/>
            <w:tcBorders>
              <w:top w:val="nil"/>
              <w:left w:val="nil"/>
              <w:bottom w:val="single" w:color="auto" w:sz="4" w:space="0"/>
              <w:right w:val="nil"/>
            </w:tcBorders>
            <w:noWrap w:val="0"/>
            <w:vAlign w:val="center"/>
          </w:tcPr>
          <w:p>
            <w:pPr>
              <w:jc w:val="center"/>
              <w:rPr>
                <w:rFonts w:hint="default" w:ascii="Times New Roman" w:hAnsi="Times New Roman" w:eastAsia="宋体" w:cs="Times New Roman"/>
                <w:b/>
                <w:i w:val="0"/>
                <w:color w:val="000000"/>
                <w:sz w:val="20"/>
                <w:szCs w:val="20"/>
                <w:u w:val="none"/>
              </w:rPr>
            </w:pPr>
          </w:p>
        </w:tc>
        <w:tc>
          <w:tcPr>
            <w:tcW w:w="1200" w:type="dxa"/>
            <w:tcBorders>
              <w:top w:val="nil"/>
              <w:left w:val="nil"/>
              <w:bottom w:val="single" w:color="auto" w:sz="4" w:space="0"/>
              <w:right w:val="nil"/>
            </w:tcBorders>
            <w:noWrap w:val="0"/>
            <w:vAlign w:val="center"/>
          </w:tcPr>
          <w:p>
            <w:pPr>
              <w:jc w:val="center"/>
              <w:rPr>
                <w:rFonts w:hint="default" w:ascii="Times New Roman" w:hAnsi="Times New Roman" w:eastAsia="宋体" w:cs="Times New Roman"/>
                <w:b/>
                <w:i w:val="0"/>
                <w:color w:val="000000"/>
                <w:sz w:val="20"/>
                <w:szCs w:val="20"/>
                <w:u w:val="none"/>
              </w:rPr>
            </w:pPr>
          </w:p>
        </w:tc>
        <w:tc>
          <w:tcPr>
            <w:tcW w:w="2290" w:type="dxa"/>
            <w:gridSpan w:val="2"/>
            <w:tcBorders>
              <w:top w:val="nil"/>
              <w:left w:val="nil"/>
              <w:bottom w:val="single" w:color="auto" w:sz="4" w:space="0"/>
              <w:right w:val="nil"/>
            </w:tcBorders>
            <w:noWrap w:val="0"/>
            <w:vAlign w:val="center"/>
          </w:tcPr>
          <w:p>
            <w:pPr>
              <w:keepNext w:val="0"/>
              <w:keepLines w:val="0"/>
              <w:widowControl/>
              <w:suppressLineNumbers w:val="0"/>
              <w:spacing w:line="240" w:lineRule="exact"/>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39" w:hRule="atLeast"/>
          <w:jc w:val="center"/>
        </w:trPr>
        <w:tc>
          <w:tcPr>
            <w:tcW w:w="38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项</w:t>
            </w:r>
            <w:r>
              <w:rPr>
                <w:rFonts w:hint="default" w:ascii="Times New Roman" w:hAnsi="Times New Roman" w:cs="Times New Roman"/>
                <w:b/>
                <w:bCs/>
                <w:i w:val="0"/>
                <w:color w:val="000000"/>
                <w:kern w:val="0"/>
                <w:sz w:val="20"/>
                <w:szCs w:val="20"/>
                <w:u w:val="none"/>
                <w:lang w:val="en-US" w:eastAsia="zh-CN" w:bidi="ar"/>
              </w:rPr>
              <w:t xml:space="preserve">   </w:t>
            </w:r>
            <w:r>
              <w:rPr>
                <w:rFonts w:hint="default" w:ascii="Times New Roman" w:hAnsi="Times New Roman" w:eastAsia="宋体" w:cs="Times New Roman"/>
                <w:b/>
                <w:bCs/>
                <w:i w:val="0"/>
                <w:color w:val="000000"/>
                <w:kern w:val="0"/>
                <w:sz w:val="20"/>
                <w:szCs w:val="20"/>
                <w:u w:val="none"/>
                <w:lang w:val="en-US" w:eastAsia="zh-CN" w:bidi="ar"/>
              </w:rPr>
              <w:t>目</w:t>
            </w:r>
          </w:p>
        </w:tc>
        <w:tc>
          <w:tcPr>
            <w:tcW w:w="6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合计</w:t>
            </w:r>
          </w:p>
        </w:tc>
        <w:tc>
          <w:tcPr>
            <w:tcW w:w="8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cs="Times New Roman"/>
                <w:b/>
                <w:bCs/>
                <w:i w:val="0"/>
                <w:color w:val="000000"/>
                <w:kern w:val="0"/>
                <w:sz w:val="20"/>
                <w:szCs w:val="20"/>
                <w:u w:val="none"/>
                <w:lang w:val="en-US" w:eastAsia="zh-CN" w:bidi="ar"/>
              </w:rPr>
              <w:t>泽普县</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县、市名称</w:t>
            </w:r>
          </w:p>
        </w:tc>
        <w:tc>
          <w:tcPr>
            <w:tcW w:w="14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县、市名称</w:t>
            </w:r>
          </w:p>
        </w:tc>
        <w:tc>
          <w:tcPr>
            <w:tcW w:w="8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一、返还性支出</w:t>
            </w:r>
          </w:p>
        </w:tc>
        <w:tc>
          <w:tcPr>
            <w:tcW w:w="694"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auto"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auto"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w:t>
            </w:r>
            <w:r>
              <w:rPr>
                <w:rFonts w:hint="default" w:ascii="Times New Roman" w:hAnsi="Times New Roman" w:cs="Times New Roman"/>
                <w:i w:val="0"/>
                <w:color w:val="000000"/>
                <w:kern w:val="0"/>
                <w:sz w:val="20"/>
                <w:szCs w:val="20"/>
                <w:u w:val="none"/>
                <w:lang w:val="en-US" w:eastAsia="zh-CN" w:bidi="ar"/>
              </w:rPr>
              <w:t xml:space="preserve">   </w:t>
            </w:r>
            <w:r>
              <w:rPr>
                <w:rFonts w:hint="default" w:ascii="Times New Roman" w:hAnsi="Times New Roman" w:eastAsia="宋体" w:cs="Times New Roman"/>
                <w:i w:val="0"/>
                <w:color w:val="000000"/>
                <w:kern w:val="0"/>
                <w:sz w:val="20"/>
                <w:szCs w:val="20"/>
                <w:u w:val="none"/>
                <w:lang w:val="en-US" w:eastAsia="zh-CN" w:bidi="ar"/>
              </w:rPr>
              <w:t>所得税基数返还支出</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成品油税费改革税收返还支出</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w:t>
            </w:r>
            <w:r>
              <w:rPr>
                <w:rFonts w:hint="default" w:ascii="Times New Roman" w:hAnsi="Times New Roman" w:cs="Times New Roman"/>
                <w:i w:val="0"/>
                <w:color w:val="000000"/>
                <w:kern w:val="0"/>
                <w:sz w:val="20"/>
                <w:szCs w:val="20"/>
                <w:u w:val="none"/>
                <w:lang w:val="en-US" w:eastAsia="zh-CN" w:bidi="ar"/>
              </w:rPr>
              <w:t xml:space="preserve">   </w:t>
            </w:r>
            <w:r>
              <w:rPr>
                <w:rFonts w:hint="default" w:ascii="Times New Roman" w:hAnsi="Times New Roman" w:eastAsia="宋体" w:cs="Times New Roman"/>
                <w:i w:val="0"/>
                <w:color w:val="000000"/>
                <w:kern w:val="0"/>
                <w:sz w:val="20"/>
                <w:szCs w:val="20"/>
                <w:u w:val="none"/>
                <w:lang w:val="en-US" w:eastAsia="zh-CN" w:bidi="ar"/>
              </w:rPr>
              <w:t>增值税税收返还支出</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w:t>
            </w:r>
            <w:r>
              <w:rPr>
                <w:rFonts w:hint="default" w:ascii="Times New Roman" w:hAnsi="Times New Roman" w:cs="Times New Roman"/>
                <w:i w:val="0"/>
                <w:color w:val="000000"/>
                <w:kern w:val="0"/>
                <w:sz w:val="20"/>
                <w:szCs w:val="20"/>
                <w:u w:val="none"/>
                <w:lang w:val="en-US" w:eastAsia="zh-CN" w:bidi="ar"/>
              </w:rPr>
              <w:t xml:space="preserve">   </w:t>
            </w:r>
            <w:r>
              <w:rPr>
                <w:rFonts w:hint="default" w:ascii="Times New Roman" w:hAnsi="Times New Roman" w:eastAsia="宋体" w:cs="Times New Roman"/>
                <w:i w:val="0"/>
                <w:color w:val="000000"/>
                <w:kern w:val="0"/>
                <w:sz w:val="20"/>
                <w:szCs w:val="20"/>
                <w:u w:val="none"/>
                <w:lang w:val="en-US" w:eastAsia="zh-CN" w:bidi="ar"/>
              </w:rPr>
              <w:t>消费税税收返还支出</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增值税“五五分享”税收返还支出</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二、一般性转移支付</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w:t>
            </w:r>
            <w:r>
              <w:rPr>
                <w:rFonts w:hint="default" w:ascii="Times New Roman" w:hAnsi="Times New Roman" w:cs="Times New Roman"/>
                <w:i w:val="0"/>
                <w:color w:val="000000"/>
                <w:kern w:val="0"/>
                <w:sz w:val="20"/>
                <w:szCs w:val="20"/>
                <w:u w:val="none"/>
                <w:lang w:val="en-US" w:eastAsia="zh-CN" w:bidi="ar"/>
              </w:rPr>
              <w:t xml:space="preserve">   </w:t>
            </w:r>
            <w:r>
              <w:rPr>
                <w:rFonts w:hint="default" w:ascii="Times New Roman" w:hAnsi="Times New Roman" w:eastAsia="宋体" w:cs="Times New Roman"/>
                <w:i w:val="0"/>
                <w:color w:val="000000"/>
                <w:kern w:val="0"/>
                <w:sz w:val="20"/>
                <w:szCs w:val="20"/>
                <w:u w:val="none"/>
                <w:lang w:val="en-US" w:eastAsia="zh-CN" w:bidi="ar"/>
              </w:rPr>
              <w:t>体制补助支出</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w:t>
            </w:r>
            <w:r>
              <w:rPr>
                <w:rFonts w:hint="default" w:ascii="Times New Roman" w:hAnsi="Times New Roman" w:cs="Times New Roman"/>
                <w:i w:val="0"/>
                <w:color w:val="000000"/>
                <w:kern w:val="0"/>
                <w:sz w:val="20"/>
                <w:szCs w:val="20"/>
                <w:u w:val="none"/>
                <w:lang w:val="en-US" w:eastAsia="zh-CN" w:bidi="ar"/>
              </w:rPr>
              <w:t xml:space="preserve">   </w:t>
            </w:r>
            <w:r>
              <w:rPr>
                <w:rFonts w:hint="default" w:ascii="Times New Roman" w:hAnsi="Times New Roman" w:eastAsia="宋体" w:cs="Times New Roman"/>
                <w:i w:val="0"/>
                <w:color w:val="000000"/>
                <w:kern w:val="0"/>
                <w:sz w:val="20"/>
                <w:szCs w:val="20"/>
                <w:u w:val="none"/>
                <w:lang w:val="en-US" w:eastAsia="zh-CN" w:bidi="ar"/>
              </w:rPr>
              <w:t>均衡性转移支付支出</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w:t>
            </w:r>
            <w:r>
              <w:rPr>
                <w:rFonts w:hint="default" w:ascii="Times New Roman" w:hAnsi="Times New Roman" w:cs="Times New Roman"/>
                <w:i w:val="0"/>
                <w:color w:val="000000"/>
                <w:kern w:val="0"/>
                <w:sz w:val="20"/>
                <w:szCs w:val="20"/>
                <w:u w:val="none"/>
                <w:lang w:val="en-US" w:eastAsia="zh-CN" w:bidi="ar"/>
              </w:rPr>
              <w:t xml:space="preserve">   </w:t>
            </w:r>
            <w:r>
              <w:rPr>
                <w:rFonts w:hint="default" w:ascii="Times New Roman" w:hAnsi="Times New Roman" w:eastAsia="宋体" w:cs="Times New Roman"/>
                <w:i w:val="0"/>
                <w:color w:val="000000"/>
                <w:kern w:val="0"/>
                <w:sz w:val="20"/>
                <w:szCs w:val="20"/>
                <w:u w:val="none"/>
                <w:lang w:val="en-US" w:eastAsia="zh-CN" w:bidi="ar"/>
              </w:rPr>
              <w:t>县级基本财力保障机制奖补资金支出</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w:t>
            </w:r>
            <w:r>
              <w:rPr>
                <w:rFonts w:hint="default" w:ascii="Times New Roman" w:hAnsi="Times New Roman" w:cs="Times New Roman"/>
                <w:i w:val="0"/>
                <w:color w:val="000000"/>
                <w:kern w:val="0"/>
                <w:sz w:val="20"/>
                <w:szCs w:val="20"/>
                <w:u w:val="none"/>
                <w:lang w:val="en-US" w:eastAsia="zh-CN" w:bidi="ar"/>
              </w:rPr>
              <w:t xml:space="preserve">     </w:t>
            </w:r>
            <w:r>
              <w:rPr>
                <w:rFonts w:hint="default" w:ascii="Times New Roman" w:hAnsi="Times New Roman" w:eastAsia="宋体" w:cs="Times New Roman"/>
                <w:i w:val="0"/>
                <w:color w:val="000000"/>
                <w:kern w:val="0"/>
                <w:sz w:val="20"/>
                <w:szCs w:val="20"/>
                <w:u w:val="none"/>
                <w:lang w:val="en-US" w:eastAsia="zh-CN" w:bidi="ar"/>
              </w:rPr>
              <w:t>结算补助支出</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资源枯竭型城市转移支付补助支出</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企业事业单位划转补助支出</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产粮（油）大县奖励资金支出</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重点生态功能区转移支付支出</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固定数额补助支出</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革命老区转移支付支出</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民族地区转移支付支出</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边境地区转移支付支出</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巩固脱贫攻坚成果衔接乡村振兴转移支付支出</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一般公共服务共同财政事权转移支付支出</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外交共同财政事权转移支付支出</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国防共同财政事权转移支付支出</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公共安全共同财政事权转移支付支出</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教育共同财政事权转移支付支出</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科学技术共同财政事权转移支付支出</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文化旅游体育与传媒共同财政事权转移支付支出</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社会保障和就业共同财政事权转移支付支出</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医疗卫生共同财政事权转移支付支出</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节能环保共同财政事权转移支付支出</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城乡社区共同财政事权转移支付支出</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农林水共同财政事权转移支付支出</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交通运输共同财政事权转移支付支出</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资源勘探工业信息等共同财政事权转移支付支出</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商业服务业等共同财政事权转移支付支出</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金融共同财政事权转移支付支出</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自然资源海洋气象等共同财政事权转移支付支出</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住房保障共同财政事权转移支付支出</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粮油物资储备共同财政事权转移支付支出</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灾害防治及应急管理共同财政事权转移支付支出</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其他共同财政事权转移支付支出</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其他一般性转移支付支出</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三、专项转移支付</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600" w:firstLineChars="30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一般公共服务</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外交</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国防</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公共安全</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教育</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科学技术</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文化旅游体育与传媒</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社会保障和就业</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卫生健康</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节能环保</w:t>
            </w:r>
          </w:p>
        </w:tc>
        <w:tc>
          <w:tcPr>
            <w:tcW w:w="694"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856"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1460" w:type="dxa"/>
            <w:tcBorders>
              <w:top w:val="single" w:color="000000" w:sz="4" w:space="0"/>
              <w:left w:val="single" w:color="000000" w:sz="4" w:space="0"/>
              <w:bottom w:val="single" w:color="auto"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30" w:type="dxa"/>
            <w:tcBorders>
              <w:top w:val="single" w:color="000000" w:sz="4" w:space="0"/>
              <w:left w:val="single" w:color="000000" w:sz="4" w:space="0"/>
              <w:bottom w:val="single" w:color="auto"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38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合 计</w:t>
            </w:r>
          </w:p>
        </w:tc>
        <w:tc>
          <w:tcPr>
            <w:tcW w:w="694"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0</w:t>
            </w:r>
          </w:p>
        </w:tc>
        <w:tc>
          <w:tcPr>
            <w:tcW w:w="856"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0</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rPr>
                <w:rFonts w:hint="default" w:ascii="Times New Roman" w:hAnsi="Times New Roman" w:eastAsia="宋体" w:cs="Times New Roman"/>
                <w:i w:val="0"/>
                <w:color w:val="000000"/>
                <w:sz w:val="20"/>
                <w:szCs w:val="20"/>
                <w:u w:val="none"/>
              </w:rPr>
            </w:pPr>
          </w:p>
        </w:tc>
        <w:tc>
          <w:tcPr>
            <w:tcW w:w="1460" w:type="dxa"/>
            <w:tcBorders>
              <w:top w:val="single" w:color="auto" w:sz="4" w:space="0"/>
              <w:left w:val="single" w:color="auto" w:sz="4" w:space="0"/>
              <w:bottom w:val="single" w:color="auto" w:sz="4" w:space="0"/>
              <w:right w:val="single" w:color="auto" w:sz="4" w:space="0"/>
            </w:tcBorders>
            <w:noWrap w:val="0"/>
            <w:vAlign w:val="center"/>
          </w:tcPr>
          <w:p>
            <w:pPr>
              <w:rPr>
                <w:rFonts w:hint="default" w:ascii="Times New Roman" w:hAnsi="Times New Roman" w:eastAsia="宋体" w:cs="Times New Roman"/>
                <w:i w:val="0"/>
                <w:color w:val="000000"/>
                <w:sz w:val="20"/>
                <w:szCs w:val="20"/>
                <w:u w:val="none"/>
              </w:rPr>
            </w:pPr>
          </w:p>
        </w:tc>
        <w:tc>
          <w:tcPr>
            <w:tcW w:w="830" w:type="dxa"/>
            <w:tcBorders>
              <w:top w:val="single" w:color="auto" w:sz="4" w:space="0"/>
              <w:left w:val="single" w:color="auto" w:sz="4" w:space="0"/>
              <w:bottom w:val="single" w:color="auto" w:sz="4" w:space="0"/>
              <w:right w:val="single" w:color="auto" w:sz="4" w:space="0"/>
            </w:tcBorders>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8896" w:type="dxa"/>
            <w:gridSpan w:val="6"/>
            <w:tcBorders>
              <w:top w:val="single" w:color="auto" w:sz="4" w:space="0"/>
              <w:left w:val="nil"/>
              <w:bottom w:val="nil"/>
              <w:right w:val="nil"/>
            </w:tcBorders>
            <w:noWrap w:val="0"/>
            <w:vAlign w:val="center"/>
          </w:tcPr>
          <w:p>
            <w:pPr>
              <w:pStyle w:val="3"/>
              <w:ind w:left="0" w:leftChars="0" w:firstLine="221" w:firstLineChars="100"/>
              <w:rPr>
                <w:rFonts w:hint="default" w:ascii="Times New Roman" w:hAnsi="Times New Roman" w:eastAsia="宋体" w:cs="Times New Roman"/>
                <w:i w:val="0"/>
                <w:color w:val="000000"/>
                <w:sz w:val="20"/>
                <w:szCs w:val="20"/>
                <w:u w:val="none"/>
              </w:rPr>
            </w:pPr>
            <w:r>
              <w:rPr>
                <w:rFonts w:hint="default" w:ascii="Times New Roman" w:hAnsi="Times New Roman" w:cs="Times New Roman"/>
                <w:b/>
                <w:i w:val="0"/>
                <w:color w:val="000000"/>
                <w:kern w:val="0"/>
                <w:sz w:val="22"/>
                <w:szCs w:val="22"/>
                <w:u w:val="none"/>
                <w:lang w:val="en-US" w:eastAsia="zh-CN" w:bidi="ar"/>
              </w:rPr>
              <w:t>备注：2025年泽普县无一般公共预算对下</w:t>
            </w:r>
            <w:r>
              <w:rPr>
                <w:rFonts w:hint="default" w:ascii="Times New Roman" w:hAnsi="Times New Roman" w:cs="Times New Roman"/>
                <w:b/>
                <w:i w:val="0"/>
                <w:color w:val="000000"/>
                <w:kern w:val="0"/>
                <w:sz w:val="22"/>
                <w:szCs w:val="22"/>
                <w:u w:val="none"/>
                <w:lang w:val="en-US" w:eastAsia="zh-Hans" w:bidi="ar"/>
              </w:rPr>
              <w:t>转移支付</w:t>
            </w:r>
            <w:r>
              <w:rPr>
                <w:rFonts w:hint="default" w:ascii="Times New Roman" w:hAnsi="Times New Roman" w:cs="Times New Roman"/>
                <w:b/>
                <w:i w:val="0"/>
                <w:color w:val="000000"/>
                <w:kern w:val="0"/>
                <w:sz w:val="22"/>
                <w:szCs w:val="22"/>
                <w:u w:val="none"/>
                <w:lang w:val="en-US" w:eastAsia="zh-CN" w:bidi="ar"/>
              </w:rPr>
              <w:t>安排</w:t>
            </w:r>
          </w:p>
        </w:tc>
      </w:tr>
    </w:tbl>
    <w:p>
      <w:pPr>
        <w:pStyle w:val="2"/>
        <w:rPr>
          <w:rFonts w:hint="default"/>
          <w:lang w:val="en-US" w:eastAsia="zh-CN"/>
        </w:rPr>
      </w:pPr>
    </w:p>
    <w:p>
      <w:pPr>
        <w:keepNext w:val="0"/>
        <w:keepLines w:val="0"/>
        <w:pageBreakBefore w:val="0"/>
        <w:widowControl w:val="0"/>
        <w:numPr>
          <w:ilvl w:val="0"/>
          <w:numId w:val="0"/>
        </w:numPr>
        <w:tabs>
          <w:tab w:val="left" w:pos="2148"/>
        </w:tabs>
        <w:kinsoku/>
        <w:wordWrap/>
        <w:overflowPunct/>
        <w:topLinePunct w:val="0"/>
        <w:autoSpaceDE/>
        <w:autoSpaceDN/>
        <w:bidi w:val="0"/>
        <w:adjustRightInd/>
        <w:snapToGrid/>
        <w:spacing w:before="190" w:line="351" w:lineRule="auto"/>
        <w:ind w:left="630" w:leftChars="0" w:right="3265" w:rightChars="0"/>
        <w:jc w:val="both"/>
        <w:textAlignment w:val="auto"/>
        <w:rPr>
          <w:rFonts w:hint="default" w:ascii="Times New Roman" w:hAnsi="Times New Roman" w:eastAsia="楷体_GB2312" w:cs="Times New Roman"/>
          <w:b/>
          <w:bCs w:val="0"/>
          <w:kern w:val="0"/>
          <w:sz w:val="32"/>
          <w:szCs w:val="32"/>
          <w:highlight w:val="none"/>
          <w:lang w:val="en-US" w:eastAsia="zh-CN"/>
        </w:rPr>
      </w:pPr>
      <w:r>
        <w:rPr>
          <w:rFonts w:hint="eastAsia" w:eastAsia="楷体_GB2312" w:cs="Times New Roman"/>
          <w:b/>
          <w:bCs w:val="0"/>
          <w:kern w:val="0"/>
          <w:sz w:val="32"/>
          <w:szCs w:val="32"/>
          <w:highlight w:val="none"/>
          <w:lang w:val="en-US" w:eastAsia="zh-CN"/>
        </w:rPr>
        <w:t>二、</w:t>
      </w:r>
      <w:r>
        <w:rPr>
          <w:rFonts w:hint="default" w:ascii="Times New Roman" w:hAnsi="Times New Roman" w:eastAsia="楷体_GB2312" w:cs="Times New Roman"/>
          <w:b/>
          <w:bCs w:val="0"/>
          <w:kern w:val="0"/>
          <w:sz w:val="32"/>
          <w:szCs w:val="32"/>
          <w:highlight w:val="none"/>
          <w:lang w:val="en-US" w:eastAsia="zh-Hans"/>
        </w:rPr>
        <w:t>政府性基金预算</w:t>
      </w:r>
      <w:r>
        <w:rPr>
          <w:rFonts w:hint="default" w:ascii="Times New Roman" w:hAnsi="Times New Roman" w:eastAsia="楷体_GB2312" w:cs="Times New Roman"/>
          <w:b/>
          <w:bCs w:val="0"/>
          <w:kern w:val="0"/>
          <w:sz w:val="32"/>
          <w:szCs w:val="32"/>
          <w:highlight w:val="none"/>
          <w:lang w:val="en-US" w:eastAsia="zh-CN"/>
        </w:rPr>
        <w:t>公开表</w:t>
      </w:r>
    </w:p>
    <w:p>
      <w:pPr>
        <w:pStyle w:val="2"/>
        <w:ind w:left="0" w:leftChars="0" w:firstLine="0" w:firstLineChars="0"/>
        <w:rPr>
          <w:rFonts w:hint="default" w:ascii="Times New Roman" w:hAnsi="Times New Roman" w:cs="Times New Roman"/>
          <w:lang w:val="en-US" w:eastAsia="zh-CN"/>
        </w:rPr>
      </w:pPr>
    </w:p>
    <w:tbl>
      <w:tblPr>
        <w:tblStyle w:val="8"/>
        <w:tblW w:w="1090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99"/>
        <w:gridCol w:w="5574"/>
        <w:gridCol w:w="1200"/>
        <w:gridCol w:w="1110"/>
        <w:gridCol w:w="15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499" w:type="dxa"/>
            <w:tcBorders>
              <w:top w:val="nil"/>
              <w:left w:val="nil"/>
              <w:bottom w:val="nil"/>
              <w:right w:val="nil"/>
            </w:tcBorders>
            <w:shd w:val="clear" w:color="auto" w:fill="FFFFFF"/>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表9</w:t>
            </w:r>
          </w:p>
        </w:tc>
        <w:tc>
          <w:tcPr>
            <w:tcW w:w="5574" w:type="dxa"/>
            <w:tcBorders>
              <w:top w:val="nil"/>
              <w:left w:val="nil"/>
              <w:bottom w:val="nil"/>
              <w:right w:val="nil"/>
            </w:tcBorders>
            <w:shd w:val="clear" w:color="auto" w:fill="FFFFFF"/>
            <w:vAlign w:val="bottom"/>
          </w:tcPr>
          <w:p>
            <w:pPr>
              <w:jc w:val="both"/>
              <w:rPr>
                <w:rFonts w:hint="default" w:ascii="Times New Roman" w:hAnsi="Times New Roman" w:eastAsia="宋体" w:cs="Times New Roman"/>
                <w:i w:val="0"/>
                <w:iCs w:val="0"/>
                <w:color w:val="000000"/>
                <w:sz w:val="20"/>
                <w:szCs w:val="20"/>
                <w:u w:val="none"/>
              </w:rPr>
            </w:pPr>
          </w:p>
        </w:tc>
        <w:tc>
          <w:tcPr>
            <w:tcW w:w="1200" w:type="dxa"/>
            <w:tcBorders>
              <w:top w:val="nil"/>
              <w:left w:val="nil"/>
              <w:bottom w:val="nil"/>
              <w:right w:val="nil"/>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c>
          <w:tcPr>
            <w:tcW w:w="1110" w:type="dxa"/>
            <w:tcBorders>
              <w:top w:val="nil"/>
              <w:left w:val="nil"/>
              <w:bottom w:val="nil"/>
              <w:right w:val="nil"/>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c>
          <w:tcPr>
            <w:tcW w:w="1518" w:type="dxa"/>
            <w:tcBorders>
              <w:top w:val="nil"/>
              <w:left w:val="nil"/>
              <w:bottom w:val="nil"/>
              <w:right w:val="nil"/>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0901" w:type="dxa"/>
            <w:gridSpan w:val="5"/>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2025年泽普县政府性基金收入表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499" w:type="dxa"/>
            <w:tcBorders>
              <w:top w:val="nil"/>
              <w:left w:val="nil"/>
              <w:bottom w:val="nil"/>
              <w:right w:val="nil"/>
            </w:tcBorders>
            <w:shd w:val="clear" w:color="auto" w:fill="FFFFFF"/>
            <w:vAlign w:val="bottom"/>
          </w:tcPr>
          <w:p>
            <w:pPr>
              <w:rPr>
                <w:rFonts w:hint="default" w:ascii="Times New Roman" w:hAnsi="Times New Roman" w:eastAsia="宋体" w:cs="Times New Roman"/>
                <w:i w:val="0"/>
                <w:iCs w:val="0"/>
                <w:color w:val="000000"/>
                <w:sz w:val="20"/>
                <w:szCs w:val="20"/>
                <w:u w:val="none"/>
              </w:rPr>
            </w:pPr>
          </w:p>
        </w:tc>
        <w:tc>
          <w:tcPr>
            <w:tcW w:w="5574" w:type="dxa"/>
            <w:tcBorders>
              <w:top w:val="nil"/>
              <w:left w:val="nil"/>
              <w:bottom w:val="nil"/>
              <w:right w:val="nil"/>
            </w:tcBorders>
            <w:shd w:val="clear" w:color="auto" w:fill="FFFFFF"/>
            <w:vAlign w:val="bottom"/>
          </w:tcPr>
          <w:p>
            <w:pPr>
              <w:jc w:val="center"/>
              <w:rPr>
                <w:rFonts w:hint="default" w:ascii="Times New Roman" w:hAnsi="Times New Roman" w:eastAsia="宋体" w:cs="Times New Roman"/>
                <w:i w:val="0"/>
                <w:iCs w:val="0"/>
                <w:color w:val="000000"/>
                <w:sz w:val="20"/>
                <w:szCs w:val="20"/>
                <w:u w:val="none"/>
              </w:rPr>
            </w:pPr>
          </w:p>
        </w:tc>
        <w:tc>
          <w:tcPr>
            <w:tcW w:w="1200" w:type="dxa"/>
            <w:tcBorders>
              <w:top w:val="nil"/>
              <w:left w:val="nil"/>
              <w:bottom w:val="nil"/>
              <w:right w:val="nil"/>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c>
          <w:tcPr>
            <w:tcW w:w="1110" w:type="dxa"/>
            <w:tcBorders>
              <w:top w:val="nil"/>
              <w:left w:val="nil"/>
              <w:bottom w:val="nil"/>
              <w:right w:val="nil"/>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c>
          <w:tcPr>
            <w:tcW w:w="1518"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4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科目编码</w:t>
            </w:r>
          </w:p>
        </w:tc>
        <w:tc>
          <w:tcPr>
            <w:tcW w:w="5574"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项  目</w:t>
            </w:r>
          </w:p>
        </w:tc>
        <w:tc>
          <w:tcPr>
            <w:tcW w:w="120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2024年完成数</w:t>
            </w:r>
          </w:p>
        </w:tc>
        <w:tc>
          <w:tcPr>
            <w:tcW w:w="111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2025年预算数</w:t>
            </w:r>
          </w:p>
        </w:tc>
        <w:tc>
          <w:tcPr>
            <w:tcW w:w="151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预算数为上年完成数的</w:t>
            </w:r>
            <w:r>
              <w:rPr>
                <w:rFonts w:hint="default" w:ascii="Times New Roman" w:hAnsi="Times New Roman" w:eastAsia="宋体" w:cs="Times New Roman"/>
                <w:b/>
                <w:bCs/>
                <w:i w:val="0"/>
                <w:iCs w:val="0"/>
                <w:strike/>
                <w:color w:val="000000"/>
                <w:kern w:val="0"/>
                <w:sz w:val="20"/>
                <w:szCs w:val="2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49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default" w:ascii="Times New Roman" w:hAnsi="Times New Roman" w:eastAsia="宋体" w:cs="Times New Roman"/>
                <w:b/>
                <w:bCs/>
                <w:i w:val="0"/>
                <w:iCs w:val="0"/>
                <w:color w:val="000000"/>
                <w:sz w:val="20"/>
                <w:szCs w:val="20"/>
                <w:u w:val="none"/>
              </w:rPr>
            </w:pPr>
          </w:p>
        </w:tc>
        <w:tc>
          <w:tcPr>
            <w:tcW w:w="557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default" w:ascii="Times New Roman" w:hAnsi="Times New Roman" w:eastAsia="宋体" w:cs="Times New Roman"/>
                <w:b/>
                <w:bCs/>
                <w:i w:val="0"/>
                <w:iCs w:val="0"/>
                <w:color w:val="000000"/>
                <w:sz w:val="20"/>
                <w:szCs w:val="20"/>
                <w:u w:val="none"/>
              </w:rPr>
            </w:pPr>
          </w:p>
        </w:tc>
        <w:tc>
          <w:tcPr>
            <w:tcW w:w="12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default" w:ascii="Times New Roman" w:hAnsi="Times New Roman" w:eastAsia="宋体" w:cs="Times New Roman"/>
                <w:b/>
                <w:bCs/>
                <w:i w:val="0"/>
                <w:iCs w:val="0"/>
                <w:color w:val="000000"/>
                <w:sz w:val="20"/>
                <w:szCs w:val="20"/>
                <w:u w:val="none"/>
              </w:rPr>
            </w:pPr>
          </w:p>
        </w:tc>
        <w:tc>
          <w:tcPr>
            <w:tcW w:w="111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hint="default" w:ascii="Times New Roman" w:hAnsi="Times New Roman" w:eastAsia="宋体" w:cs="Times New Roman"/>
                <w:b/>
                <w:bCs/>
                <w:i w:val="0"/>
                <w:iCs w:val="0"/>
                <w:color w:val="000000"/>
                <w:sz w:val="20"/>
                <w:szCs w:val="20"/>
                <w:u w:val="none"/>
              </w:rPr>
            </w:pPr>
          </w:p>
        </w:tc>
        <w:tc>
          <w:tcPr>
            <w:tcW w:w="151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hint="default" w:ascii="Times New Roman" w:hAnsi="Times New Roman" w:eastAsia="宋体" w:cs="Times New Roman"/>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103010202</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地方农网还贷资金收入</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1030112</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海南省高等级公路车辆通行附加费收入</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1030129</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国家电影事业发展专项资金收入</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1030146</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国有土地收益基金收入</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1030147</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农业土地开发资金收入</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103014801</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土地出让价款收入</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354</w:t>
            </w: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 xml:space="preserve">43000 </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12046.9%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103014802</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补缴的土地价款</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643</w:t>
            </w: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103014803</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划拨土地收入</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126</w:t>
            </w: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103014898</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缴纳新增建设用地土地有偿使用费</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lang w:val="en-US" w:eastAsia="zh-CN"/>
              </w:rPr>
            </w:pPr>
            <w:r>
              <w:rPr>
                <w:rFonts w:hint="eastAsia" w:cs="Times New Roman"/>
                <w:i w:val="0"/>
                <w:iCs w:val="0"/>
                <w:color w:val="000000"/>
                <w:sz w:val="22"/>
                <w:szCs w:val="22"/>
                <w:u w:val="none"/>
                <w:lang w:val="en-US" w:eastAsia="zh-CN"/>
              </w:rPr>
              <w:t>-217</w:t>
            </w: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103014899</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其他土地出让收入</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w:t>
            </w: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103015002</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地方大中型水库库区基金收入</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103015501</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福利彩票公益金收入</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103015502</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体育彩票公益金收入</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1030156</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城市基础设施配套费收入</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374 </w:t>
            </w: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1030157</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小型水库移民扶助基金收入</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103015803</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地方重大水利工程建设资金</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1030159</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车辆通行费</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1030178</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污水处理费收入</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100 </w:t>
            </w: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103018003</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福利彩票销售机构的业务费用</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103018004</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体育彩票销售机构的业务费用</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103018005</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彩票兑奖周转金</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103018006</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彩票发行销售风险基金</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103018007</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彩票市场调控资金收入</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1030182</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耕地保护考核奖惩基金收入</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1030183</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超长期特别国债财务基金收入</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1030199</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其他政府性基金收入</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1031003</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海南省高等级公路车辆通行附加费专项债务对应项目专项收入</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1031005</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国家电影事业发展专项资金专项债务对应项目专项收入</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103100601</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土地储备专项债券对应项目专项收入</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103100602</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棚户区改造专项债券对应项目专项收入</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100 </w:t>
            </w: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103100699</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其他国有土地使用权出让金专项债务对应项目专项收入</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1031008</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农业土地开发资金专项债务对应项目专项收入</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1031009</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大中型水库库区基金专项债务对应项目专项收入</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1031010</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城市基础设施配套费专项债务对应项目专项收入</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1031011</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小型水库移民扶助基金专项债务对应项目专项收入</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1031012</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国家重大水利工程建设基金专项债务对应项目专项收入</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103101301</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政府收费公路专项债券对应项目专项收入</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103101399</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其他车辆通行费专项债务对应项目专项收入</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1031014</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污水处理费专项债务对应项目专项收入</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103109998</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其他地方自行试点项目收益专项债券对应项目专项收入</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2880 </w:t>
            </w: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 xml:space="preserve">5402 </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103109999</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其他政府性基金专项债务对应项目专项收入</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Times New Roman" w:hAnsi="Times New Roman" w:eastAsia="宋体" w:cs="Times New Roman"/>
                <w:i w:val="0"/>
                <w:iCs w:val="0"/>
                <w:color w:val="000000"/>
                <w:sz w:val="22"/>
                <w:szCs w:val="22"/>
                <w:u w:val="none"/>
                <w:lang w:val="en-US" w:eastAsia="zh-CN"/>
              </w:rPr>
            </w:pPr>
            <w:r>
              <w:rPr>
                <w:rFonts w:hint="eastAsia" w:cs="Times New Roman"/>
                <w:i w:val="0"/>
                <w:iCs w:val="0"/>
                <w:color w:val="000000"/>
                <w:sz w:val="22"/>
                <w:szCs w:val="22"/>
                <w:u w:val="none"/>
                <w:lang w:val="en-US" w:eastAsia="zh-CN"/>
              </w:rPr>
              <w:t>0</w:t>
            </w: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 xml:space="preserve">791 </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11004</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政府性基金转移支付收入</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1221 </w:t>
            </w: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 xml:space="preserve">1148 </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1100413</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ind w:firstLineChars="10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其中：超长期特别国债转移支付收入</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444 </w:t>
            </w: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1100491</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政府性基金预算省补助计划单列市收入</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110060301</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抗疫特别国债还本上解收入</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110060302</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超长期特别国债还本上解收入</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110060399</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其他政府性基金上解收入</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11006039991</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政府性基金预算计划单列市上解省收入</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1100802</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政府性基金预算上年结余收入</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667 </w:t>
            </w:r>
          </w:p>
        </w:tc>
        <w:tc>
          <w:tcPr>
            <w:tcW w:w="1110" w:type="dxa"/>
            <w:tcBorders>
              <w:top w:val="single" w:color="000000" w:sz="4" w:space="0"/>
              <w:left w:val="single" w:color="000000" w:sz="4" w:space="0"/>
              <w:bottom w:val="single" w:color="000000" w:sz="4" w:space="0"/>
              <w:right w:val="single" w:color="000000" w:sz="4" w:space="0"/>
            </w:tcBorders>
            <w:shd w:val="clear" w:color="auto" w:fill="D9D9D9"/>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 xml:space="preserve">21432 </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3113.2%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110090202</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从一般公共预算调入用于补充超长期特别国债偿债备付金的资金</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110090203</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从国有资本经营预算调入用于补充超长期特别国债偿债备付金的资金</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9"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110090204</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从一般公共预算调入用于偿还超长期特别国债本金的资金</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110090205</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从国有资本经营预算调入用于偿还超长期特别国债本金的资金</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110090206</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从一般公共预算调入用于偿还抗疫特别国债本金的资金</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110090207</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从国有资本经营预算调入用于偿还抗疫特别国债本金的资金</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11009029901</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ind w:firstLineChars="10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其他调入政府性基金预算资金</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11009029991</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ind w:firstLineChars="10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一般公共预算调入政府性基金预算资金</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1101102</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地方政府专项债务转贷收入</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47838 </w:t>
            </w: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cs="Times New Roman"/>
                <w:i w:val="0"/>
                <w:iCs w:val="0"/>
                <w:color w:val="000000"/>
                <w:kern w:val="0"/>
                <w:sz w:val="22"/>
                <w:szCs w:val="22"/>
                <w:u w:val="none"/>
                <w:lang w:val="en-US" w:eastAsia="zh-CN" w:bidi="ar"/>
              </w:rPr>
              <w:t>0</w:t>
            </w: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jc w:val="center"/>
        </w:trPr>
        <w:tc>
          <w:tcPr>
            <w:tcW w:w="14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1102201</w:t>
            </w:r>
          </w:p>
        </w:tc>
        <w:tc>
          <w:tcPr>
            <w:tcW w:w="55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动用超长期特别国债偿债备付金</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kern w:val="0"/>
                <w:sz w:val="22"/>
                <w:szCs w:val="22"/>
                <w:u w:val="none"/>
                <w:lang w:val="en-US" w:eastAsia="zh-CN" w:bidi="ar"/>
              </w:rPr>
            </w:pPr>
          </w:p>
        </w:tc>
        <w:tc>
          <w:tcPr>
            <w:tcW w:w="1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jc w:val="center"/>
        </w:trPr>
        <w:tc>
          <w:tcPr>
            <w:tcW w:w="1499"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1050402</w:t>
            </w:r>
          </w:p>
        </w:tc>
        <w:tc>
          <w:tcPr>
            <w:tcW w:w="5574"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专项债务收入</w:t>
            </w:r>
          </w:p>
        </w:tc>
        <w:tc>
          <w:tcPr>
            <w:tcW w:w="1200"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110"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8" w:type="dxa"/>
            <w:tcBorders>
              <w:top w:val="single" w:color="000000" w:sz="4" w:space="0"/>
              <w:left w:val="single" w:color="000000" w:sz="4" w:space="0"/>
              <w:bottom w:val="single" w:color="auto" w:sz="4" w:space="0"/>
              <w:right w:val="single" w:color="000000" w:sz="4" w:space="0"/>
            </w:tcBorders>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jc w:val="center"/>
        </w:trPr>
        <w:tc>
          <w:tcPr>
            <w:tcW w:w="1499" w:type="dxa"/>
            <w:tcBorders>
              <w:top w:val="single" w:color="auto" w:sz="4" w:space="0"/>
              <w:left w:val="single" w:color="auto" w:sz="4" w:space="0"/>
              <w:bottom w:val="single" w:color="auto" w:sz="4" w:space="0"/>
              <w:right w:val="single" w:color="auto" w:sz="4" w:space="0"/>
            </w:tcBorders>
            <w:shd w:val="clear" w:color="auto" w:fill="FFFFFF"/>
            <w:noWrap/>
            <w:vAlign w:val="bottom"/>
          </w:tcPr>
          <w:p>
            <w:pPr>
              <w:rPr>
                <w:rFonts w:hint="default" w:ascii="Times New Roman" w:hAnsi="Times New Roman" w:eastAsia="宋体" w:cs="Times New Roman"/>
                <w:i w:val="0"/>
                <w:iCs w:val="0"/>
                <w:color w:val="000000"/>
                <w:sz w:val="24"/>
                <w:szCs w:val="24"/>
                <w:u w:val="none"/>
              </w:rPr>
            </w:pPr>
          </w:p>
        </w:tc>
        <w:tc>
          <w:tcPr>
            <w:tcW w:w="5574" w:type="dxa"/>
            <w:tcBorders>
              <w:top w:val="single" w:color="auto" w:sz="4" w:space="0"/>
              <w:left w:val="single" w:color="auto" w:sz="4" w:space="0"/>
              <w:bottom w:val="single" w:color="auto" w:sz="4" w:space="0"/>
              <w:right w:val="single" w:color="auto"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政府性基金收入合计</w:t>
            </w:r>
          </w:p>
        </w:tc>
        <w:tc>
          <w:tcPr>
            <w:tcW w:w="1200"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val="en-US" w:eastAsia="zh-CN" w:bidi="ar"/>
              </w:rPr>
            </w:pPr>
            <w:r>
              <w:rPr>
                <w:rFonts w:hint="default" w:ascii="Times New Roman" w:hAnsi="Times New Roman" w:eastAsia="宋体" w:cs="Times New Roman"/>
                <w:b/>
                <w:i w:val="0"/>
                <w:color w:val="000000"/>
                <w:kern w:val="0"/>
                <w:sz w:val="20"/>
                <w:szCs w:val="20"/>
                <w:u w:val="none"/>
                <w:lang w:val="en-US" w:eastAsia="zh-CN" w:bidi="ar"/>
              </w:rPr>
              <w:t>54539</w:t>
            </w:r>
          </w:p>
        </w:tc>
        <w:tc>
          <w:tcPr>
            <w:tcW w:w="1110"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val="en-US" w:eastAsia="zh-CN" w:bidi="ar"/>
              </w:rPr>
            </w:pPr>
            <w:r>
              <w:rPr>
                <w:rFonts w:hint="default" w:ascii="Times New Roman" w:hAnsi="Times New Roman" w:eastAsia="宋体" w:cs="Times New Roman"/>
                <w:b/>
                <w:i w:val="0"/>
                <w:color w:val="000000"/>
                <w:kern w:val="0"/>
                <w:sz w:val="20"/>
                <w:szCs w:val="20"/>
                <w:u w:val="none"/>
                <w:lang w:val="en-US" w:eastAsia="zh-CN" w:bidi="ar"/>
              </w:rPr>
              <w:t>71773</w:t>
            </w:r>
          </w:p>
        </w:tc>
        <w:tc>
          <w:tcPr>
            <w:tcW w:w="1518"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val="en-US" w:eastAsia="zh-CN" w:bidi="ar"/>
              </w:rPr>
            </w:pPr>
            <w:r>
              <w:rPr>
                <w:rFonts w:hint="default" w:ascii="Times New Roman" w:hAnsi="Times New Roman" w:eastAsia="宋体" w:cs="Times New Roman"/>
                <w:b/>
                <w:i w:val="0"/>
                <w:color w:val="000000"/>
                <w:kern w:val="0"/>
                <w:sz w:val="20"/>
                <w:szCs w:val="20"/>
                <w:u w:val="none"/>
                <w:lang w:val="en-US" w:eastAsia="zh-CN" w:bidi="ar"/>
              </w:rPr>
              <w:t>31.6%</w:t>
            </w:r>
          </w:p>
        </w:tc>
      </w:tr>
    </w:tbl>
    <w:tbl>
      <w:tblPr>
        <w:tblStyle w:val="8"/>
        <w:tblpPr w:leftFromText="180" w:rightFromText="180" w:vertAnchor="text" w:horzAnchor="page" w:tblpXSpec="center" w:tblpY="466"/>
        <w:tblOverlap w:val="never"/>
        <w:tblW w:w="110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482"/>
        <w:gridCol w:w="4952"/>
        <w:gridCol w:w="1518"/>
        <w:gridCol w:w="1522"/>
        <w:gridCol w:w="1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7" w:hRule="atLeast"/>
          <w:jc w:val="center"/>
        </w:trPr>
        <w:tc>
          <w:tcPr>
            <w:tcW w:w="148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表10</w:t>
            </w:r>
          </w:p>
        </w:tc>
        <w:tc>
          <w:tcPr>
            <w:tcW w:w="4952" w:type="dxa"/>
            <w:tcBorders>
              <w:top w:val="nil"/>
              <w:left w:val="nil"/>
              <w:bottom w:val="nil"/>
              <w:right w:val="nil"/>
            </w:tcBorders>
            <w:shd w:val="clear" w:color="auto" w:fill="auto"/>
            <w:vAlign w:val="bottom"/>
          </w:tcPr>
          <w:p>
            <w:pPr>
              <w:jc w:val="both"/>
              <w:rPr>
                <w:rFonts w:hint="default" w:ascii="Times New Roman" w:hAnsi="Times New Roman" w:eastAsia="宋体" w:cs="Times New Roman"/>
                <w:i w:val="0"/>
                <w:iCs w:val="0"/>
                <w:color w:val="000000"/>
                <w:sz w:val="24"/>
                <w:szCs w:val="24"/>
                <w:u w:val="none"/>
              </w:rPr>
            </w:pPr>
          </w:p>
        </w:tc>
        <w:tc>
          <w:tcPr>
            <w:tcW w:w="1518" w:type="dxa"/>
            <w:tcBorders>
              <w:top w:val="nil"/>
              <w:left w:val="nil"/>
              <w:bottom w:val="nil"/>
              <w:right w:val="nil"/>
            </w:tcBorders>
            <w:shd w:val="clear" w:color="auto" w:fill="auto"/>
            <w:vAlign w:val="bottom"/>
          </w:tcPr>
          <w:p>
            <w:pPr>
              <w:jc w:val="both"/>
              <w:rPr>
                <w:rFonts w:hint="default" w:ascii="Times New Roman" w:hAnsi="Times New Roman" w:eastAsia="宋体" w:cs="Times New Roman"/>
                <w:i w:val="0"/>
                <w:iCs w:val="0"/>
                <w:color w:val="000000"/>
                <w:sz w:val="24"/>
                <w:szCs w:val="24"/>
                <w:u w:val="none"/>
              </w:rPr>
            </w:pPr>
          </w:p>
        </w:tc>
        <w:tc>
          <w:tcPr>
            <w:tcW w:w="1522" w:type="dxa"/>
            <w:tcBorders>
              <w:top w:val="nil"/>
              <w:left w:val="nil"/>
              <w:bottom w:val="nil"/>
              <w:right w:val="nil"/>
            </w:tcBorders>
            <w:shd w:val="clear" w:color="auto" w:fill="auto"/>
            <w:vAlign w:val="bottom"/>
          </w:tcPr>
          <w:p>
            <w:pPr>
              <w:jc w:val="both"/>
              <w:rPr>
                <w:rFonts w:hint="default" w:ascii="Times New Roman" w:hAnsi="Times New Roman" w:eastAsia="宋体" w:cs="Times New Roman"/>
                <w:i w:val="0"/>
                <w:iCs w:val="0"/>
                <w:color w:val="000000"/>
                <w:sz w:val="24"/>
                <w:szCs w:val="24"/>
                <w:u w:val="none"/>
              </w:rPr>
            </w:pPr>
          </w:p>
        </w:tc>
        <w:tc>
          <w:tcPr>
            <w:tcW w:w="1569" w:type="dxa"/>
            <w:tcBorders>
              <w:top w:val="nil"/>
              <w:left w:val="nil"/>
              <w:bottom w:val="nil"/>
              <w:right w:val="nil"/>
            </w:tcBorders>
            <w:shd w:val="clear" w:color="auto" w:fill="auto"/>
            <w:vAlign w:val="bottom"/>
          </w:tcPr>
          <w:p>
            <w:pPr>
              <w:jc w:val="both"/>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1043"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2025年泽普县政府性基金支出表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tcBorders>
              <w:top w:val="nil"/>
              <w:left w:val="nil"/>
              <w:bottom w:val="single" w:color="auto" w:sz="4" w:space="0"/>
              <w:right w:val="nil"/>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c>
          <w:tcPr>
            <w:tcW w:w="4952" w:type="dxa"/>
            <w:tcBorders>
              <w:top w:val="nil"/>
              <w:left w:val="nil"/>
              <w:bottom w:val="single" w:color="auto" w:sz="4" w:space="0"/>
              <w:right w:val="nil"/>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c>
          <w:tcPr>
            <w:tcW w:w="1518" w:type="dxa"/>
            <w:tcBorders>
              <w:top w:val="nil"/>
              <w:left w:val="nil"/>
              <w:bottom w:val="single" w:color="auto" w:sz="4" w:space="0"/>
              <w:right w:val="nil"/>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c>
          <w:tcPr>
            <w:tcW w:w="1522" w:type="dxa"/>
            <w:tcBorders>
              <w:top w:val="nil"/>
              <w:left w:val="nil"/>
              <w:bottom w:val="single" w:color="auto" w:sz="4" w:space="0"/>
              <w:right w:val="nil"/>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c>
          <w:tcPr>
            <w:tcW w:w="1569" w:type="dxa"/>
            <w:tcBorders>
              <w:top w:val="nil"/>
              <w:left w:val="nil"/>
              <w:bottom w:val="single" w:color="auto" w:sz="4" w:space="0"/>
              <w:right w:val="nil"/>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482" w:type="dxa"/>
            <w:tcBorders>
              <w:top w:val="single" w:color="auto" w:sz="4" w:space="0"/>
            </w:tcBorders>
            <w:shd w:val="clear" w:color="auto" w:fill="FFFFFF"/>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科目编码</w:t>
            </w:r>
          </w:p>
        </w:tc>
        <w:tc>
          <w:tcPr>
            <w:tcW w:w="4952" w:type="dxa"/>
            <w:tcBorders>
              <w:top w:val="single" w:color="auto"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项  目</w:t>
            </w:r>
          </w:p>
        </w:tc>
        <w:tc>
          <w:tcPr>
            <w:tcW w:w="1518" w:type="dxa"/>
            <w:tcBorders>
              <w:top w:val="single" w:color="auto"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2024年完成数</w:t>
            </w:r>
          </w:p>
        </w:tc>
        <w:tc>
          <w:tcPr>
            <w:tcW w:w="1522" w:type="dxa"/>
            <w:tcBorders>
              <w:top w:val="single" w:color="auto"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2025年预算数</w:t>
            </w:r>
          </w:p>
        </w:tc>
        <w:tc>
          <w:tcPr>
            <w:tcW w:w="1569" w:type="dxa"/>
            <w:tcBorders>
              <w:top w:val="single" w:color="auto"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预算数为上年完成数的%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2059803</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职业教育</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2059804</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特殊教育</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2059899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其他教育支出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2061001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乏燃料运输</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2061002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乏燃料离堆贮存</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2061003</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乏燃料后处理</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2061004</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高放废物的处理处置</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2061005</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乏燃料后处理厂的建设、运行、改造和退役</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2061099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其他乏燃料处理处置基金支出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2069801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基础研究</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2069802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应用研究</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2069803</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技术研究与开发</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2069804</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科技条件与服务</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2069805</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科技重大项目</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2069899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其他科技支出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2070701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资助国产影片放映</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2070702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资助影院建设</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2070703</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资助少数民族语电影译制</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2070704</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购买农村电影公益性放映版权服务</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2070799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其他国家电影事业发展专项资金支出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2070901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宣传促销</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2070902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行业规划</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2070903</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旅游事业补助</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2070904</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地方旅游开发项目补助</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2070999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其他旅游发展基金支出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2071001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资助城市影院</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2071099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其他国家电影事业发展专项资金对应专项债务收入支出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2079801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文化和旅游</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2079802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文物</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2079803</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体育</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2079804</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新闻出版电影</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2079805</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广播电视</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2079899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其他文化旅游体育与传媒支出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2089801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养老机构及服务设施</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2089802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公共就业服务设施</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2089899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其他社会保障和就业支出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2109801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公立医院</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2109802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基层医疗卫生机构</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2109803</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公共卫生机构</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2109804</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托育机构</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2109899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其他卫生健康支出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2116001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风力发电补助</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2116002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太阳能发电补助</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2116003</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生物质能发电补助</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2116099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其他可再生能源电价附加收入安排的支出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2116101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回收处理费用补贴</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2116102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信息系统建设</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2116103</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基金征管经费</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2116104</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其他废弃电器电子产品处理基金支出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2119801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水污染综合治理</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2119802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应对气候变化</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2119803</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“三北”工程建设</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2119899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其他节能环保支出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2120801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征地和拆迁补偿支出</w:t>
            </w:r>
          </w:p>
        </w:tc>
        <w:tc>
          <w:tcPr>
            <w:tcW w:w="151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116</w:t>
            </w:r>
          </w:p>
        </w:tc>
        <w:tc>
          <w:tcPr>
            <w:tcW w:w="1522"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4167</w:t>
            </w:r>
          </w:p>
        </w:tc>
        <w:tc>
          <w:tcPr>
            <w:tcW w:w="1569"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2120802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土地开发支出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2120803</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城市建设支出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2120804</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农村基础设施建设支出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2120805</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补助被征地农民支出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2120806</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土地出让业务支出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2120807</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廉租住房支出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2120809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支付破产或改制企业职工安置费</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2120810</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棚户区改造支出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2120811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公共租赁住房支出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2120813</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保障性住房租金补贴</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2120814</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农业生产发展支出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2120815</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农村社会事业支出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2120816</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农业农村生态环境支出</w:t>
            </w:r>
          </w:p>
        </w:tc>
        <w:tc>
          <w:tcPr>
            <w:tcW w:w="151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150</w:t>
            </w:r>
          </w:p>
        </w:tc>
        <w:tc>
          <w:tcPr>
            <w:tcW w:w="1522" w:type="dxa"/>
            <w:shd w:val="clear" w:color="auto" w:fill="FFFFFF"/>
            <w:noWrap/>
            <w:vAlign w:val="bottom"/>
          </w:tcPr>
          <w:p>
            <w:pPr>
              <w:jc w:val="center"/>
              <w:rPr>
                <w:rFonts w:hint="eastAsia" w:ascii="Times New Roman" w:hAnsi="Times New Roman" w:eastAsia="宋体" w:cs="Times New Roman"/>
                <w:i w:val="0"/>
                <w:iCs w:val="0"/>
                <w:color w:val="000000"/>
                <w:sz w:val="22"/>
                <w:szCs w:val="22"/>
                <w:u w:val="none"/>
                <w:lang w:val="en-US" w:eastAsia="zh-CN"/>
              </w:rPr>
            </w:pPr>
            <w:r>
              <w:rPr>
                <w:rFonts w:hint="eastAsia" w:cs="Times New Roman"/>
                <w:i w:val="0"/>
                <w:iCs w:val="0"/>
                <w:color w:val="000000"/>
                <w:sz w:val="22"/>
                <w:szCs w:val="22"/>
                <w:u w:val="none"/>
                <w:lang w:val="en-US" w:eastAsia="zh-CN"/>
              </w:rPr>
              <w:t>0</w:t>
            </w:r>
          </w:p>
        </w:tc>
        <w:tc>
          <w:tcPr>
            <w:tcW w:w="1569"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2120899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其他国有土地使用权出让收入安排的支出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2121001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征地和拆迁补偿支出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2121002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土地开发支出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2121099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其他国有土地收益基金支出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农业土地开发资金安排的支出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2121301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城市公共设施</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2121302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城市环境卫生</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2121303</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公有房屋</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2121304</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城市防洪</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2121399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其他城市基础设施配套费安排的支出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2121401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污水处理设施建设和运营</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2121402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代征手续费</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2121499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其他污水处理费安排的支出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2121501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征地和拆迁补偿支出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2121502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土地开发支出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2121599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其他土地储备专项债券收入安排的支出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2121601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征地和拆迁补偿支出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2121602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土地开发支出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2121699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其他棚户区改造专项债券收入安排的支出</w:t>
            </w:r>
          </w:p>
        </w:tc>
        <w:tc>
          <w:tcPr>
            <w:tcW w:w="151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2000</w:t>
            </w:r>
          </w:p>
        </w:tc>
        <w:tc>
          <w:tcPr>
            <w:tcW w:w="1522" w:type="dxa"/>
            <w:shd w:val="clear" w:color="auto" w:fill="FFFFFF"/>
            <w:noWrap/>
            <w:vAlign w:val="bottom"/>
          </w:tcPr>
          <w:p>
            <w:pPr>
              <w:jc w:val="center"/>
              <w:rPr>
                <w:rFonts w:hint="eastAsia" w:ascii="Times New Roman" w:hAnsi="Times New Roman" w:eastAsia="宋体" w:cs="Times New Roman"/>
                <w:i w:val="0"/>
                <w:iCs w:val="0"/>
                <w:color w:val="000000"/>
                <w:sz w:val="22"/>
                <w:szCs w:val="22"/>
                <w:u w:val="none"/>
                <w:lang w:val="en-US" w:eastAsia="zh-CN"/>
              </w:rPr>
            </w:pPr>
            <w:r>
              <w:rPr>
                <w:rFonts w:hint="eastAsia" w:cs="Times New Roman"/>
                <w:i w:val="0"/>
                <w:iCs w:val="0"/>
                <w:color w:val="000000"/>
                <w:sz w:val="22"/>
                <w:szCs w:val="22"/>
                <w:u w:val="none"/>
                <w:lang w:val="en-US" w:eastAsia="zh-CN"/>
              </w:rPr>
              <w:t>0</w:t>
            </w:r>
          </w:p>
        </w:tc>
        <w:tc>
          <w:tcPr>
            <w:tcW w:w="1569"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2121701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城市公共设施</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2121702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城市环境卫生</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2121703</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公有房屋</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2121704</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城市防洪</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2121799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其他城市基础设施配套费对应专项债务收入安排的支出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2121801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污水处理设施建设和运营</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2121899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其他污水处理费对应专项债务收入安排的支出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2121901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征地和拆迁补偿支出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2121902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土地开发支出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2121903</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城市建设支出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2121904</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农村基础设施建设支出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2121905</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廉租住房支出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2121906</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棚户区改造支出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2121907</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公共租赁住房支出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2121999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其他国有土地使用权出让收入对应专项债务收入安排的支出</w:t>
            </w:r>
          </w:p>
        </w:tc>
        <w:tc>
          <w:tcPr>
            <w:tcW w:w="151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5000</w:t>
            </w:r>
          </w:p>
        </w:tc>
        <w:tc>
          <w:tcPr>
            <w:tcW w:w="1522" w:type="dxa"/>
            <w:shd w:val="clear" w:color="auto" w:fill="FFFFFF"/>
            <w:noWrap/>
            <w:vAlign w:val="bottom"/>
          </w:tcPr>
          <w:p>
            <w:pPr>
              <w:jc w:val="center"/>
              <w:rPr>
                <w:rFonts w:hint="eastAsia" w:ascii="Times New Roman" w:hAnsi="Times New Roman" w:eastAsia="宋体" w:cs="Times New Roman"/>
                <w:i w:val="0"/>
                <w:iCs w:val="0"/>
                <w:color w:val="000000"/>
                <w:sz w:val="22"/>
                <w:szCs w:val="22"/>
                <w:u w:val="none"/>
                <w:lang w:val="en-US" w:eastAsia="zh-CN"/>
              </w:rPr>
            </w:pPr>
            <w:r>
              <w:rPr>
                <w:rFonts w:hint="eastAsia" w:cs="Times New Roman"/>
                <w:i w:val="0"/>
                <w:iCs w:val="0"/>
                <w:color w:val="000000"/>
                <w:sz w:val="22"/>
                <w:szCs w:val="22"/>
                <w:u w:val="none"/>
                <w:lang w:val="en-US" w:eastAsia="zh-CN"/>
              </w:rPr>
              <w:t>0</w:t>
            </w:r>
          </w:p>
        </w:tc>
        <w:tc>
          <w:tcPr>
            <w:tcW w:w="1569"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2129801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城乡社区公共设施</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2129899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其他城乡社区支出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2136601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基础设施建设和经济发展</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2136602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解决移民遗留问题</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2136603</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库区防护工程维护</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2136699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其他大中型水库库区基金支出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2136701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基础设施建设和经济发展</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2136702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解决移民遗留问题</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2136703</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库区维护和管理</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2136799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其他三峡水库库区基金支出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2136901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南水北调工程建设</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2136902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三峡后续工作</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2136903</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地方重大水利工程建设</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2136999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其他重大水利工程建设基金支出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2137001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基础设施建设和经济发展</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2137099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其他大中型水库库区基金对应专项债务收入支出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2137101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南水北调工程建设</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2137102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三峡工程后续工作</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2137103</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地方重大水利工程建设</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2137199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其他重大水利工程建设基金对应专项债务收入支出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2137201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移民补助</w:t>
            </w:r>
          </w:p>
        </w:tc>
        <w:tc>
          <w:tcPr>
            <w:tcW w:w="151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1522"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w:t>
            </w:r>
          </w:p>
        </w:tc>
        <w:tc>
          <w:tcPr>
            <w:tcW w:w="1569"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2137202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基础设施建设和经济发展</w:t>
            </w:r>
          </w:p>
        </w:tc>
        <w:tc>
          <w:tcPr>
            <w:tcW w:w="151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w:t>
            </w:r>
          </w:p>
        </w:tc>
        <w:tc>
          <w:tcPr>
            <w:tcW w:w="1522"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420</w:t>
            </w: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lang w:val="en-US" w:eastAsia="zh-CN"/>
              </w:rPr>
            </w:pPr>
            <w:r>
              <w:rPr>
                <w:rFonts w:hint="default" w:ascii="Times New Roman" w:hAnsi="Times New Roman" w:eastAsia="宋体" w:cs="Times New Roman"/>
                <w:i w:val="0"/>
                <w:iCs w:val="0"/>
                <w:color w:val="000000"/>
                <w:sz w:val="22"/>
                <w:szCs w:val="22"/>
                <w:u w:val="none"/>
                <w:lang w:val="en-US" w:eastAsia="zh-CN"/>
              </w:rPr>
              <w:t>80.3%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2137299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其他大中型水库移民后期扶持基金支出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2137301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移民补助</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2137302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基础设施建设和经济发展</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2137399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其他小型水库移民扶助基金支出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2137401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基础设施建设和经济发展</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2137499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其他小型水库移民扶助基金对应专项债务收入安排的支出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2139801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农业农村支出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2139802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水利支出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2139899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其他农林水支出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2146001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公路建设</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2146002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公路养护</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2146003</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公路还贷</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2146099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其他海南省高等级公路车辆通行附加费安排的支出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2146201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公路还贷</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2146202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政府还贷公路养护</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2146203</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政府还贷公路管理</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2146299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其他车辆通行费安排的支出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2146401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铁路建设投资</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2146402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购置铁路机车车辆</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2146403</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铁路还贷</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2146404</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建设项目铺底资金</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2146405</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勘测设计</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2146406</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注册资本金</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2146407</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周转资金</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2146499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其他铁路建设基金支出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2146801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应急处置费用</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2146802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控制清除污染</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2146803</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损失补偿</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2146804</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生态恢复</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2146805</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监视监测</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2146899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其他船舶油污损害赔偿基金支出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2146901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民航机场建设</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2146902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空管系统建设</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2146903</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民航安全</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2146904</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航线和机场补贴</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2146906</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民航节能减排</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2146907</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通用航空发展</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2146908</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征管经费</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2146909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民航科教和信息建设</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2146999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其他民航发展基金支出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2147001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公路建设</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2147099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其他海南省高等级公路车辆通行附加费对应专项债务收入安排的支出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2147101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公路建设</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2147199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其他政府收费公路专项债券收入安排的支出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21472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车辆通行费对应专项债务收入安排的支出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2149801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公路水路运输</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2149802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铁路运输</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2149803</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民用航空运输</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2149804</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邮政业支出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2149899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其他交通运输支出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2156201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中央农网还贷资金支出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2156202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地方农网还贷资金支出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2156299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其他农网还贷资金支出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2159801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资源勘探开发</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2159802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制造业</w:t>
            </w:r>
          </w:p>
        </w:tc>
        <w:tc>
          <w:tcPr>
            <w:tcW w:w="151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241</w:t>
            </w:r>
          </w:p>
        </w:tc>
        <w:tc>
          <w:tcPr>
            <w:tcW w:w="1522"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w:t>
            </w:r>
          </w:p>
        </w:tc>
        <w:tc>
          <w:tcPr>
            <w:tcW w:w="1569"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2159803</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工业和信息产业</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2159899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其他资源勘探工业信息等支出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2170402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中央特别国债经营基金支出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2170403</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中央特别国债经营基金财务支出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2200601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耕地保护</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2200602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补充耕地</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2219801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保障性租赁住房</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2219899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其他住房保障支出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2229801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设施建设</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2229899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其他粮油物资储备支出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2249801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自然灾害防治</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2249802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自然灾害恢复重建支出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2249899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其他灾害防治及应急管理支出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2290401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其他政府性基金安排的支出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2290402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其他地方自行试点项目收益专项债券收入安排的支出</w:t>
            </w:r>
          </w:p>
        </w:tc>
        <w:tc>
          <w:tcPr>
            <w:tcW w:w="151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12717</w:t>
            </w:r>
          </w:p>
        </w:tc>
        <w:tc>
          <w:tcPr>
            <w:tcW w:w="1522"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21168</w:t>
            </w:r>
          </w:p>
        </w:tc>
        <w:tc>
          <w:tcPr>
            <w:tcW w:w="1569"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66.45%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2290403</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其他政府性基金债务收入安排的支出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2290802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福利彩票发行机构的业务费支出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2290803</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体育彩票发行机构的业务费支出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2290804</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福利彩票销售机构的业务费支出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2290805</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体育彩票销售机构的业务费支出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2290806</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彩票兑奖周转金支出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2290807</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彩票发行销售风险基金支出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2290808</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彩票市场调控资金支出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2290899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其他彩票发行销售机构业务费安排的支出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2290901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抗疫特别国债财务基金支出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2291001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超长期特别国债财务基金支出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2296001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用于补充全国社会保障基金的彩票公益金支出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2296002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用于社会福利的彩票公益金支出</w:t>
            </w:r>
          </w:p>
        </w:tc>
        <w:tc>
          <w:tcPr>
            <w:tcW w:w="151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935</w:t>
            </w:r>
          </w:p>
        </w:tc>
        <w:tc>
          <w:tcPr>
            <w:tcW w:w="1522"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370</w:t>
            </w:r>
          </w:p>
        </w:tc>
        <w:tc>
          <w:tcPr>
            <w:tcW w:w="1569"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2296003</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用于体育事业的彩票公益金支出</w:t>
            </w:r>
          </w:p>
        </w:tc>
        <w:tc>
          <w:tcPr>
            <w:tcW w:w="151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52</w:t>
            </w:r>
          </w:p>
        </w:tc>
        <w:tc>
          <w:tcPr>
            <w:tcW w:w="1522"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w:t>
            </w:r>
          </w:p>
        </w:tc>
        <w:tc>
          <w:tcPr>
            <w:tcW w:w="1569"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2296004</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用于教育事业的彩票公益金支出</w:t>
            </w:r>
          </w:p>
        </w:tc>
        <w:tc>
          <w:tcPr>
            <w:tcW w:w="151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1522"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w:t>
            </w:r>
          </w:p>
        </w:tc>
        <w:tc>
          <w:tcPr>
            <w:tcW w:w="1569"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2296005</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用于红十字事业的彩票公益金支出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2296006</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用于残疾人事业的彩票公益金支出</w:t>
            </w:r>
          </w:p>
        </w:tc>
        <w:tc>
          <w:tcPr>
            <w:tcW w:w="151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w:t>
            </w:r>
          </w:p>
        </w:tc>
        <w:tc>
          <w:tcPr>
            <w:tcW w:w="1522"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w:t>
            </w:r>
          </w:p>
        </w:tc>
        <w:tc>
          <w:tcPr>
            <w:tcW w:w="1569"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2296010</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用于文化事业的彩票公益金支出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2296011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用于巩固脱贫攻坚成果衔接乡村振兴的彩票公益金支出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2296012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用于法律援助的彩票公益金支出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2296013</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用于城乡医疗救助的彩票公益金支出</w:t>
            </w:r>
          </w:p>
        </w:tc>
        <w:tc>
          <w:tcPr>
            <w:tcW w:w="151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w:t>
            </w:r>
          </w:p>
        </w:tc>
        <w:tc>
          <w:tcPr>
            <w:tcW w:w="1522"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108</w:t>
            </w:r>
          </w:p>
        </w:tc>
        <w:tc>
          <w:tcPr>
            <w:tcW w:w="1569"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2296099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用于其他社会公益事业的彩票公益金支出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2299899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2320401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海南省高等级公路车辆通行附加费债务付息支出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2320405</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国家电影事业发展专项资金债务付息支出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2320411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国有土地使用权出让金债务付息支出</w:t>
            </w:r>
          </w:p>
        </w:tc>
        <w:tc>
          <w:tcPr>
            <w:tcW w:w="151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274</w:t>
            </w:r>
          </w:p>
        </w:tc>
        <w:tc>
          <w:tcPr>
            <w:tcW w:w="1522" w:type="dxa"/>
            <w:shd w:val="clear" w:color="auto" w:fill="FFFFFF"/>
            <w:noWrap/>
            <w:vAlign w:val="bottom"/>
          </w:tcPr>
          <w:p>
            <w:pPr>
              <w:jc w:val="center"/>
              <w:rPr>
                <w:rFonts w:hint="eastAsia" w:ascii="Times New Roman" w:hAnsi="Times New Roman" w:eastAsia="宋体" w:cs="Times New Roman"/>
                <w:i w:val="0"/>
                <w:iCs w:val="0"/>
                <w:color w:val="000000"/>
                <w:sz w:val="22"/>
                <w:szCs w:val="22"/>
                <w:u w:val="none"/>
                <w:lang w:val="en-US" w:eastAsia="zh-CN"/>
              </w:rPr>
            </w:pPr>
            <w:r>
              <w:rPr>
                <w:rFonts w:hint="eastAsia" w:cs="Times New Roman"/>
                <w:i w:val="0"/>
                <w:iCs w:val="0"/>
                <w:color w:val="000000"/>
                <w:sz w:val="22"/>
                <w:szCs w:val="22"/>
                <w:u w:val="none"/>
                <w:lang w:val="en-US" w:eastAsia="zh-CN"/>
              </w:rPr>
              <w:t>0</w:t>
            </w:r>
          </w:p>
        </w:tc>
        <w:tc>
          <w:tcPr>
            <w:tcW w:w="1569"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2320413</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农业土地开发资金债务付息支出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2320414</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大中型水库库区基金债务付息支出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2320416</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城市基础设施配套费债务付息支出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2320417</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小型水库移民扶助基金债务付息支出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2320418</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国家重大水利工程建设基金债务付息支出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2320419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车辆通行费债务付息支出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2320420</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污水处理费债务付息支出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2320431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土地储备专项债券付息支出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2320432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政府收费公路专项债券付息支出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2320433</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棚户区改造专项债券付息支出</w:t>
            </w:r>
          </w:p>
        </w:tc>
        <w:tc>
          <w:tcPr>
            <w:tcW w:w="151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425</w:t>
            </w:r>
          </w:p>
        </w:tc>
        <w:tc>
          <w:tcPr>
            <w:tcW w:w="1522"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448</w:t>
            </w:r>
          </w:p>
        </w:tc>
        <w:tc>
          <w:tcPr>
            <w:tcW w:w="1569"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2320498</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其他地方自行试点项目收益专项债券付息支出</w:t>
            </w:r>
          </w:p>
        </w:tc>
        <w:tc>
          <w:tcPr>
            <w:tcW w:w="151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4991</w:t>
            </w:r>
          </w:p>
        </w:tc>
        <w:tc>
          <w:tcPr>
            <w:tcW w:w="1522"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6138</w:t>
            </w:r>
          </w:p>
        </w:tc>
        <w:tc>
          <w:tcPr>
            <w:tcW w:w="1569"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2320499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其他政府性基金债务付息支出</w:t>
            </w:r>
          </w:p>
        </w:tc>
        <w:tc>
          <w:tcPr>
            <w:tcW w:w="1518" w:type="dxa"/>
            <w:shd w:val="clear" w:color="auto" w:fill="FFFFFF"/>
            <w:noWrap/>
            <w:vAlign w:val="bottom"/>
          </w:tcPr>
          <w:p>
            <w:pPr>
              <w:jc w:val="center"/>
              <w:rPr>
                <w:rFonts w:hint="eastAsia" w:ascii="Times New Roman" w:hAnsi="Times New Roman" w:eastAsia="宋体" w:cs="Times New Roman"/>
                <w:i w:val="0"/>
                <w:iCs w:val="0"/>
                <w:color w:val="000000"/>
                <w:sz w:val="22"/>
                <w:szCs w:val="22"/>
                <w:u w:val="none"/>
                <w:lang w:val="en-US" w:eastAsia="zh-CN"/>
              </w:rPr>
            </w:pPr>
            <w:r>
              <w:rPr>
                <w:rFonts w:hint="eastAsia" w:cs="Times New Roman"/>
                <w:i w:val="0"/>
                <w:iCs w:val="0"/>
                <w:color w:val="000000"/>
                <w:sz w:val="22"/>
                <w:szCs w:val="22"/>
                <w:u w:val="none"/>
                <w:lang w:val="en-US" w:eastAsia="zh-CN"/>
              </w:rPr>
              <w:t>0</w:t>
            </w:r>
          </w:p>
        </w:tc>
        <w:tc>
          <w:tcPr>
            <w:tcW w:w="1522"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2330401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海南省高等级公路车辆通行附加费债务发行费用支出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2330405</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国家电影事业发展专项资金债务发行费用支出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2330411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国有土地使用权出让金债务发行费用支出</w:t>
            </w:r>
          </w:p>
        </w:tc>
        <w:tc>
          <w:tcPr>
            <w:tcW w:w="151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1522" w:type="dxa"/>
            <w:shd w:val="clear" w:color="auto" w:fill="FFFFFF"/>
            <w:noWrap/>
            <w:vAlign w:val="bottom"/>
          </w:tcPr>
          <w:p>
            <w:pPr>
              <w:jc w:val="center"/>
              <w:rPr>
                <w:rFonts w:hint="eastAsia" w:ascii="Times New Roman" w:hAnsi="Times New Roman" w:eastAsia="宋体" w:cs="Times New Roman"/>
                <w:i w:val="0"/>
                <w:iCs w:val="0"/>
                <w:color w:val="000000"/>
                <w:sz w:val="22"/>
                <w:szCs w:val="22"/>
                <w:u w:val="none"/>
                <w:lang w:val="en-US" w:eastAsia="zh-CN"/>
              </w:rPr>
            </w:pPr>
            <w:r>
              <w:rPr>
                <w:rFonts w:hint="eastAsia" w:cs="Times New Roman"/>
                <w:i w:val="0"/>
                <w:iCs w:val="0"/>
                <w:color w:val="000000"/>
                <w:sz w:val="22"/>
                <w:szCs w:val="22"/>
                <w:u w:val="none"/>
                <w:lang w:val="en-US" w:eastAsia="zh-CN"/>
              </w:rPr>
              <w:t>0</w:t>
            </w: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2330413</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农业土地开发资金债务发行费用支出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2330414</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大中型水库库区基金债务发行费用支出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2330416</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城市基础设施配套费债务发行费用支出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2330417</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小型水库移民扶助基金债务发行费用支出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2330418</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国家重大水利工程建设基金债务发行费用支出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2330419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车辆通行费债务发行费用支出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2330420</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污水处理费债务发行费用支出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2330431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土地储备专项债券发行费用支出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2330432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政府收费公路专项债券发行费用支出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2330433</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棚户区改造专项债券发行费用支出</w:t>
            </w:r>
          </w:p>
        </w:tc>
        <w:tc>
          <w:tcPr>
            <w:tcW w:w="151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1522" w:type="dxa"/>
            <w:shd w:val="clear" w:color="auto" w:fill="FFFFFF"/>
            <w:noWrap/>
            <w:vAlign w:val="bottom"/>
          </w:tcPr>
          <w:p>
            <w:pPr>
              <w:jc w:val="center"/>
              <w:rPr>
                <w:rFonts w:hint="eastAsia" w:ascii="Times New Roman" w:hAnsi="Times New Roman" w:eastAsia="宋体" w:cs="Times New Roman"/>
                <w:i w:val="0"/>
                <w:iCs w:val="0"/>
                <w:color w:val="000000"/>
                <w:sz w:val="22"/>
                <w:szCs w:val="22"/>
                <w:u w:val="none"/>
                <w:lang w:val="en-US" w:eastAsia="zh-CN"/>
              </w:rPr>
            </w:pPr>
            <w:r>
              <w:rPr>
                <w:rFonts w:hint="eastAsia" w:cs="Times New Roman"/>
                <w:i w:val="0"/>
                <w:iCs w:val="0"/>
                <w:color w:val="000000"/>
                <w:sz w:val="22"/>
                <w:szCs w:val="22"/>
                <w:u w:val="none"/>
                <w:lang w:val="en-US" w:eastAsia="zh-CN"/>
              </w:rPr>
              <w:t>0</w:t>
            </w:r>
          </w:p>
        </w:tc>
        <w:tc>
          <w:tcPr>
            <w:tcW w:w="1569"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2330498</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其他地方自行试点项目收益专项债券发行费用支出</w:t>
            </w:r>
          </w:p>
        </w:tc>
        <w:tc>
          <w:tcPr>
            <w:tcW w:w="151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w:t>
            </w:r>
          </w:p>
        </w:tc>
        <w:tc>
          <w:tcPr>
            <w:tcW w:w="1522"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1569"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2330499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其他政府性基金债务发行费用支出</w:t>
            </w:r>
          </w:p>
        </w:tc>
        <w:tc>
          <w:tcPr>
            <w:tcW w:w="151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1522" w:type="dxa"/>
            <w:shd w:val="clear" w:color="auto" w:fill="FFFFFF"/>
            <w:noWrap/>
            <w:vAlign w:val="bottom"/>
          </w:tcPr>
          <w:p>
            <w:pPr>
              <w:jc w:val="center"/>
              <w:rPr>
                <w:rFonts w:hint="eastAsia" w:ascii="Times New Roman" w:hAnsi="Times New Roman" w:eastAsia="宋体" w:cs="Times New Roman"/>
                <w:i w:val="0"/>
                <w:iCs w:val="0"/>
                <w:color w:val="000000"/>
                <w:sz w:val="22"/>
                <w:szCs w:val="22"/>
                <w:u w:val="none"/>
                <w:lang w:val="en-US" w:eastAsia="zh-CN"/>
              </w:rPr>
            </w:pPr>
            <w:r>
              <w:rPr>
                <w:rFonts w:hint="eastAsia" w:cs="Times New Roman"/>
                <w:i w:val="0"/>
                <w:iCs w:val="0"/>
                <w:color w:val="000000"/>
                <w:sz w:val="22"/>
                <w:szCs w:val="22"/>
                <w:u w:val="none"/>
                <w:lang w:val="en-US" w:eastAsia="zh-CN"/>
              </w:rPr>
              <w:t>0</w:t>
            </w:r>
          </w:p>
        </w:tc>
        <w:tc>
          <w:tcPr>
            <w:tcW w:w="1569"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2340101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公共卫生体系建设</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2340102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重大疫情防控救治体系建设</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2340103</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粮食安全</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2340104</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能源安全</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2340105</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应急物资保障</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2340106</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产业链改造升级</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2340107</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城镇老旧小区改造</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2340108</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生态环境治理</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2340109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交通基础设施建设</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2340110</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市政设施建设</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2340111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重大区域规划基础设施建设</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2340199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其他基础设施建设</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2340201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减免房租补贴</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2340202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重点企业贷款贴息</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2340203</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创业担保贷款贴息</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2340204</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援企稳岗补贴</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2340205</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困难群众基本生活补助</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2340299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其他抗疫相关支出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23004</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政府性基金转移支付</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2300413</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其中：超长期特别国债转移支付支出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2300491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政府性基金预算省补助计划单列市支出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2300603</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政府性基金上解支出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230060399</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政府性基金预算计划单列市上解省支出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2300605</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抗疫特别国债还本上解支出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2300606</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超长期特别国债还本上解支出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2300802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政府性基金预算调出资金</w:t>
            </w:r>
          </w:p>
        </w:tc>
        <w:tc>
          <w:tcPr>
            <w:tcW w:w="151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610</w:t>
            </w:r>
          </w:p>
        </w:tc>
        <w:tc>
          <w:tcPr>
            <w:tcW w:w="1522"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38240</w:t>
            </w:r>
          </w:p>
        </w:tc>
        <w:tc>
          <w:tcPr>
            <w:tcW w:w="1569"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6168.8%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2300902</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政府性基金年终结余</w:t>
            </w:r>
          </w:p>
        </w:tc>
        <w:tc>
          <w:tcPr>
            <w:tcW w:w="151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21432</w:t>
            </w:r>
          </w:p>
        </w:tc>
        <w:tc>
          <w:tcPr>
            <w:tcW w:w="1522" w:type="dxa"/>
            <w:shd w:val="clear" w:color="auto" w:fill="FFFFFF"/>
            <w:noWrap/>
            <w:vAlign w:val="bottom"/>
          </w:tcPr>
          <w:p>
            <w:pPr>
              <w:jc w:val="center"/>
              <w:rPr>
                <w:rFonts w:hint="eastAsia" w:ascii="Times New Roman" w:hAnsi="Times New Roman" w:eastAsia="宋体" w:cs="Times New Roman"/>
                <w:i w:val="0"/>
                <w:iCs w:val="0"/>
                <w:color w:val="000000"/>
                <w:sz w:val="22"/>
                <w:szCs w:val="22"/>
                <w:u w:val="none"/>
                <w:lang w:val="en-US" w:eastAsia="zh-CN"/>
              </w:rPr>
            </w:pPr>
            <w:r>
              <w:rPr>
                <w:rFonts w:hint="eastAsia" w:cs="Times New Roman"/>
                <w:i w:val="0"/>
                <w:iCs w:val="0"/>
                <w:color w:val="000000"/>
                <w:sz w:val="22"/>
                <w:szCs w:val="22"/>
                <w:u w:val="none"/>
                <w:lang w:val="en-US" w:eastAsia="zh-CN"/>
              </w:rPr>
              <w:t>0</w:t>
            </w:r>
          </w:p>
        </w:tc>
        <w:tc>
          <w:tcPr>
            <w:tcW w:w="1569"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23011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债务转贷支出</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2302201</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安排超长期特别国债偿债备付金</w:t>
            </w:r>
          </w:p>
        </w:tc>
        <w:tc>
          <w:tcPr>
            <w:tcW w:w="151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2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569"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48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23104</w:t>
            </w:r>
          </w:p>
        </w:tc>
        <w:tc>
          <w:tcPr>
            <w:tcW w:w="4952"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地方政府专项债务还本支出</w:t>
            </w:r>
          </w:p>
        </w:tc>
        <w:tc>
          <w:tcPr>
            <w:tcW w:w="151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4800</w:t>
            </w:r>
          </w:p>
        </w:tc>
        <w:tc>
          <w:tcPr>
            <w:tcW w:w="1522" w:type="dxa"/>
            <w:shd w:val="clear" w:color="auto" w:fill="FFFFFF"/>
            <w:noWrap/>
            <w:vAlign w:val="bottom"/>
          </w:tcPr>
          <w:p>
            <w:pPr>
              <w:jc w:val="center"/>
              <w:rPr>
                <w:rFonts w:hint="eastAsia" w:ascii="Times New Roman" w:hAnsi="Times New Roman" w:eastAsia="宋体" w:cs="Times New Roman"/>
                <w:i w:val="0"/>
                <w:iCs w:val="0"/>
                <w:color w:val="000000"/>
                <w:sz w:val="22"/>
                <w:szCs w:val="22"/>
                <w:u w:val="none"/>
                <w:lang w:val="en-US" w:eastAsia="zh-CN"/>
              </w:rPr>
            </w:pPr>
            <w:r>
              <w:rPr>
                <w:rFonts w:hint="eastAsia" w:ascii="Times New Roman" w:hAnsi="Times New Roman" w:eastAsia="宋体" w:cs="Times New Roman"/>
                <w:i w:val="0"/>
                <w:iCs w:val="0"/>
                <w:color w:val="000000"/>
                <w:kern w:val="0"/>
                <w:sz w:val="22"/>
                <w:szCs w:val="22"/>
                <w:u w:val="none"/>
                <w:lang w:val="en-US" w:eastAsia="zh-CN" w:bidi="ar"/>
              </w:rPr>
              <w:t>0</w:t>
            </w:r>
          </w:p>
        </w:tc>
        <w:tc>
          <w:tcPr>
            <w:tcW w:w="1569"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482" w:type="dxa"/>
            <w:shd w:val="clear" w:color="auto" w:fill="FFFFFF"/>
            <w:noWrap/>
            <w:vAlign w:val="bottom"/>
          </w:tcPr>
          <w:p>
            <w:pPr>
              <w:jc w:val="both"/>
              <w:rPr>
                <w:rFonts w:hint="default" w:ascii="Times New Roman" w:hAnsi="Times New Roman" w:eastAsia="宋体" w:cs="Times New Roman"/>
                <w:i w:val="0"/>
                <w:iCs w:val="0"/>
                <w:color w:val="000000"/>
                <w:sz w:val="24"/>
                <w:szCs w:val="24"/>
                <w:u w:val="none"/>
              </w:rPr>
            </w:pPr>
          </w:p>
        </w:tc>
        <w:tc>
          <w:tcPr>
            <w:tcW w:w="4952" w:type="dxa"/>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政府性基金支出合计</w:t>
            </w:r>
          </w:p>
        </w:tc>
        <w:tc>
          <w:tcPr>
            <w:tcW w:w="1518" w:type="dxa"/>
            <w:shd w:val="clear" w:color="auto" w:fill="FFFFFF"/>
            <w:noWrap/>
            <w:vAlign w:val="bottom"/>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54095</w:t>
            </w:r>
          </w:p>
        </w:tc>
        <w:tc>
          <w:tcPr>
            <w:tcW w:w="1522" w:type="dxa"/>
            <w:shd w:val="clear" w:color="auto" w:fill="FFFFFF"/>
            <w:noWrap/>
            <w:vAlign w:val="bottom"/>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71773</w:t>
            </w:r>
          </w:p>
        </w:tc>
        <w:tc>
          <w:tcPr>
            <w:tcW w:w="1569"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32.7%</w:t>
            </w:r>
          </w:p>
        </w:tc>
      </w:tr>
    </w:tbl>
    <w:p>
      <w:pPr>
        <w:pStyle w:val="2"/>
        <w:numPr>
          <w:ilvl w:val="0"/>
          <w:numId w:val="0"/>
        </w:num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tbl>
      <w:tblPr>
        <w:tblStyle w:val="8"/>
        <w:tblW w:w="111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426"/>
        <w:gridCol w:w="5929"/>
        <w:gridCol w:w="1215"/>
        <w:gridCol w:w="1128"/>
        <w:gridCol w:w="1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426" w:type="dxa"/>
            <w:tcBorders>
              <w:top w:val="nil"/>
              <w:left w:val="nil"/>
              <w:bottom w:val="nil"/>
              <w:right w:val="nil"/>
            </w:tcBorders>
            <w:shd w:val="clear" w:color="auto" w:fill="FFFFFF"/>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Style w:val="26"/>
                <w:rFonts w:hint="eastAsia" w:cs="Times New Roman"/>
                <w:lang w:val="en-US" w:eastAsia="zh-CN" w:bidi="ar"/>
              </w:rPr>
              <w:t>表</w:t>
            </w:r>
            <w:r>
              <w:rPr>
                <w:rStyle w:val="26"/>
                <w:rFonts w:hint="default" w:ascii="Times New Roman" w:hAnsi="Times New Roman" w:eastAsia="宋体" w:cs="Times New Roman"/>
                <w:lang w:val="en-US" w:eastAsia="zh-CN" w:bidi="ar"/>
              </w:rPr>
              <w:t>11</w:t>
            </w:r>
          </w:p>
        </w:tc>
        <w:tc>
          <w:tcPr>
            <w:tcW w:w="5929" w:type="dxa"/>
            <w:tcBorders>
              <w:top w:val="nil"/>
              <w:left w:val="nil"/>
              <w:bottom w:val="nil"/>
              <w:right w:val="nil"/>
            </w:tcBorders>
            <w:shd w:val="clear" w:color="auto" w:fill="FFFFFF"/>
            <w:vAlign w:val="bottom"/>
          </w:tcPr>
          <w:p>
            <w:pPr>
              <w:jc w:val="both"/>
              <w:rPr>
                <w:rFonts w:hint="default" w:ascii="Times New Roman" w:hAnsi="Times New Roman" w:eastAsia="宋体" w:cs="Times New Roman"/>
                <w:i w:val="0"/>
                <w:iCs w:val="0"/>
                <w:color w:val="000000"/>
                <w:sz w:val="20"/>
                <w:szCs w:val="20"/>
                <w:u w:val="none"/>
              </w:rPr>
            </w:pPr>
          </w:p>
        </w:tc>
        <w:tc>
          <w:tcPr>
            <w:tcW w:w="1215" w:type="dxa"/>
            <w:tcBorders>
              <w:top w:val="nil"/>
              <w:left w:val="nil"/>
              <w:bottom w:val="nil"/>
              <w:right w:val="nil"/>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c>
          <w:tcPr>
            <w:tcW w:w="1128" w:type="dxa"/>
            <w:tcBorders>
              <w:top w:val="nil"/>
              <w:left w:val="nil"/>
              <w:bottom w:val="nil"/>
              <w:right w:val="nil"/>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c>
          <w:tcPr>
            <w:tcW w:w="1425" w:type="dxa"/>
            <w:tcBorders>
              <w:top w:val="nil"/>
              <w:left w:val="nil"/>
              <w:bottom w:val="nil"/>
              <w:right w:val="nil"/>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123" w:type="dxa"/>
            <w:gridSpan w:val="5"/>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2025年泽普县本级政府性基金收入表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426" w:type="dxa"/>
            <w:tcBorders>
              <w:top w:val="nil"/>
              <w:left w:val="nil"/>
              <w:bottom w:val="single" w:color="auto" w:sz="4" w:space="0"/>
              <w:right w:val="nil"/>
            </w:tcBorders>
            <w:shd w:val="clear" w:color="auto" w:fill="FFFFFF"/>
            <w:vAlign w:val="bottom"/>
          </w:tcPr>
          <w:p>
            <w:pPr>
              <w:jc w:val="both"/>
              <w:rPr>
                <w:rFonts w:hint="default" w:ascii="Times New Roman" w:hAnsi="Times New Roman" w:eastAsia="宋体" w:cs="Times New Roman"/>
                <w:i w:val="0"/>
                <w:iCs w:val="0"/>
                <w:color w:val="000000"/>
                <w:sz w:val="20"/>
                <w:szCs w:val="20"/>
                <w:u w:val="none"/>
              </w:rPr>
            </w:pPr>
          </w:p>
        </w:tc>
        <w:tc>
          <w:tcPr>
            <w:tcW w:w="5929" w:type="dxa"/>
            <w:tcBorders>
              <w:top w:val="nil"/>
              <w:left w:val="nil"/>
              <w:bottom w:val="single" w:color="auto" w:sz="4" w:space="0"/>
              <w:right w:val="nil"/>
            </w:tcBorders>
            <w:shd w:val="clear" w:color="auto" w:fill="FFFFFF"/>
            <w:vAlign w:val="bottom"/>
          </w:tcPr>
          <w:p>
            <w:pPr>
              <w:jc w:val="center"/>
              <w:rPr>
                <w:rFonts w:hint="default" w:ascii="Times New Roman" w:hAnsi="Times New Roman" w:eastAsia="宋体" w:cs="Times New Roman"/>
                <w:i w:val="0"/>
                <w:iCs w:val="0"/>
                <w:color w:val="000000"/>
                <w:sz w:val="20"/>
                <w:szCs w:val="20"/>
                <w:u w:val="none"/>
              </w:rPr>
            </w:pPr>
          </w:p>
        </w:tc>
        <w:tc>
          <w:tcPr>
            <w:tcW w:w="1215" w:type="dxa"/>
            <w:tcBorders>
              <w:top w:val="nil"/>
              <w:left w:val="nil"/>
              <w:bottom w:val="single" w:color="auto" w:sz="4" w:space="0"/>
              <w:right w:val="nil"/>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c>
          <w:tcPr>
            <w:tcW w:w="1128" w:type="dxa"/>
            <w:tcBorders>
              <w:top w:val="nil"/>
              <w:left w:val="nil"/>
              <w:bottom w:val="single" w:color="auto" w:sz="4" w:space="0"/>
              <w:right w:val="nil"/>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c>
          <w:tcPr>
            <w:tcW w:w="1425" w:type="dxa"/>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1426" w:type="dxa"/>
            <w:tcBorders>
              <w:top w:val="single" w:color="auto"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科目编码</w:t>
            </w:r>
          </w:p>
        </w:tc>
        <w:tc>
          <w:tcPr>
            <w:tcW w:w="5929" w:type="dxa"/>
            <w:tcBorders>
              <w:top w:val="single" w:color="auto"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项  目</w:t>
            </w:r>
          </w:p>
        </w:tc>
        <w:tc>
          <w:tcPr>
            <w:tcW w:w="1215" w:type="dxa"/>
            <w:tcBorders>
              <w:top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2024年完成数</w:t>
            </w:r>
          </w:p>
        </w:tc>
        <w:tc>
          <w:tcPr>
            <w:tcW w:w="1128" w:type="dxa"/>
            <w:tcBorders>
              <w:top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2025年预算数</w:t>
            </w:r>
          </w:p>
        </w:tc>
        <w:tc>
          <w:tcPr>
            <w:tcW w:w="1425" w:type="dxa"/>
            <w:tcBorders>
              <w:top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预算数为上年完成数的%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103010202</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地方农网还贷资金收入</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1030112</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海南省高等级公路车辆通行附加费收入</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1030129</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国家电影事业发展专项资金收入</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1030146</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国有土地收益基金收入</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1030147</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农业土地开发资金收入</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103014801</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土地出让价款收入</w:t>
            </w:r>
          </w:p>
        </w:tc>
        <w:tc>
          <w:tcPr>
            <w:tcW w:w="1215"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354</w:t>
            </w:r>
          </w:p>
        </w:tc>
        <w:tc>
          <w:tcPr>
            <w:tcW w:w="112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43000</w:t>
            </w:r>
          </w:p>
        </w:tc>
        <w:tc>
          <w:tcPr>
            <w:tcW w:w="1425" w:type="dxa"/>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2"/>
                <w:szCs w:val="22"/>
                <w:u w:val="none"/>
                <w:lang w:val="en-US" w:eastAsia="zh-CN" w:bidi="ar"/>
              </w:rPr>
              <w:t>12046.9%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103014802</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补缴的土地价款</w:t>
            </w:r>
          </w:p>
        </w:tc>
        <w:tc>
          <w:tcPr>
            <w:tcW w:w="1215"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643</w:t>
            </w:r>
          </w:p>
        </w:tc>
        <w:tc>
          <w:tcPr>
            <w:tcW w:w="1128" w:type="dxa"/>
            <w:shd w:val="clear" w:color="auto" w:fill="FFFFFF"/>
            <w:noWrap/>
            <w:vAlign w:val="bottom"/>
          </w:tcPr>
          <w:p>
            <w:pPr>
              <w:jc w:val="center"/>
              <w:rPr>
                <w:rFonts w:hint="eastAsia" w:ascii="Times New Roman" w:hAnsi="Times New Roman" w:eastAsia="宋体" w:cs="Times New Roman"/>
                <w:i w:val="0"/>
                <w:iCs w:val="0"/>
                <w:color w:val="000000"/>
                <w:sz w:val="22"/>
                <w:szCs w:val="22"/>
                <w:u w:val="none"/>
                <w:lang w:val="en-US" w:eastAsia="zh-CN"/>
              </w:rPr>
            </w:pPr>
            <w:r>
              <w:rPr>
                <w:rFonts w:hint="eastAsia" w:cs="Times New Roman"/>
                <w:i w:val="0"/>
                <w:iCs w:val="0"/>
                <w:color w:val="000000"/>
                <w:sz w:val="22"/>
                <w:szCs w:val="22"/>
                <w:u w:val="none"/>
                <w:lang w:val="en-US" w:eastAsia="zh-CN"/>
              </w:rPr>
              <w:t>0</w:t>
            </w: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103014803</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划拨土地收入</w:t>
            </w:r>
          </w:p>
        </w:tc>
        <w:tc>
          <w:tcPr>
            <w:tcW w:w="1215"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126</w:t>
            </w:r>
          </w:p>
        </w:tc>
        <w:tc>
          <w:tcPr>
            <w:tcW w:w="1128" w:type="dxa"/>
            <w:shd w:val="clear" w:color="auto" w:fill="FFFFFF"/>
            <w:noWrap/>
            <w:vAlign w:val="bottom"/>
          </w:tcPr>
          <w:p>
            <w:pPr>
              <w:jc w:val="center"/>
              <w:rPr>
                <w:rFonts w:hint="eastAsia" w:ascii="Times New Roman" w:hAnsi="Times New Roman" w:eastAsia="宋体" w:cs="Times New Roman"/>
                <w:i w:val="0"/>
                <w:iCs w:val="0"/>
                <w:color w:val="000000"/>
                <w:sz w:val="22"/>
                <w:szCs w:val="22"/>
                <w:u w:val="none"/>
                <w:lang w:val="en-US" w:eastAsia="zh-CN"/>
              </w:rPr>
            </w:pPr>
            <w:r>
              <w:rPr>
                <w:rFonts w:hint="eastAsia" w:cs="Times New Roman"/>
                <w:i w:val="0"/>
                <w:iCs w:val="0"/>
                <w:color w:val="000000"/>
                <w:sz w:val="22"/>
                <w:szCs w:val="22"/>
                <w:u w:val="none"/>
                <w:lang w:val="en-US" w:eastAsia="zh-CN"/>
              </w:rPr>
              <w:t>0</w:t>
            </w: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103014898</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缴纳新增建设用地土地有偿使用费</w:t>
            </w:r>
          </w:p>
        </w:tc>
        <w:tc>
          <w:tcPr>
            <w:tcW w:w="1215"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w:t>
            </w:r>
          </w:p>
        </w:tc>
        <w:tc>
          <w:tcPr>
            <w:tcW w:w="1128" w:type="dxa"/>
            <w:shd w:val="clear" w:color="auto" w:fill="FFFFFF"/>
            <w:noWrap/>
            <w:vAlign w:val="bottom"/>
          </w:tcPr>
          <w:p>
            <w:pPr>
              <w:jc w:val="center"/>
              <w:rPr>
                <w:rFonts w:hint="eastAsia" w:ascii="Times New Roman" w:hAnsi="Times New Roman" w:eastAsia="宋体" w:cs="Times New Roman"/>
                <w:i w:val="0"/>
                <w:iCs w:val="0"/>
                <w:color w:val="000000"/>
                <w:sz w:val="22"/>
                <w:szCs w:val="22"/>
                <w:u w:val="none"/>
                <w:lang w:val="en-US" w:eastAsia="zh-CN"/>
              </w:rPr>
            </w:pPr>
            <w:r>
              <w:rPr>
                <w:rFonts w:hint="eastAsia" w:cs="Times New Roman"/>
                <w:i w:val="0"/>
                <w:iCs w:val="0"/>
                <w:color w:val="000000"/>
                <w:sz w:val="22"/>
                <w:szCs w:val="22"/>
                <w:u w:val="none"/>
                <w:lang w:val="en-US" w:eastAsia="zh-CN"/>
              </w:rPr>
              <w:t>0</w:t>
            </w: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103014899</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其他土地出让收入</w:t>
            </w:r>
          </w:p>
        </w:tc>
        <w:tc>
          <w:tcPr>
            <w:tcW w:w="1215"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w:t>
            </w:r>
          </w:p>
        </w:tc>
        <w:tc>
          <w:tcPr>
            <w:tcW w:w="1128" w:type="dxa"/>
            <w:shd w:val="clear" w:color="auto" w:fill="FFFFFF"/>
            <w:noWrap/>
            <w:vAlign w:val="bottom"/>
          </w:tcPr>
          <w:p>
            <w:pPr>
              <w:jc w:val="center"/>
              <w:rPr>
                <w:rFonts w:hint="eastAsia" w:ascii="Times New Roman" w:hAnsi="Times New Roman" w:eastAsia="宋体" w:cs="Times New Roman"/>
                <w:i w:val="0"/>
                <w:iCs w:val="0"/>
                <w:color w:val="000000"/>
                <w:sz w:val="22"/>
                <w:szCs w:val="22"/>
                <w:u w:val="none"/>
                <w:lang w:val="en-US" w:eastAsia="zh-CN"/>
              </w:rPr>
            </w:pPr>
            <w:r>
              <w:rPr>
                <w:rFonts w:hint="eastAsia" w:cs="Times New Roman"/>
                <w:i w:val="0"/>
                <w:iCs w:val="0"/>
                <w:color w:val="000000"/>
                <w:sz w:val="22"/>
                <w:szCs w:val="22"/>
                <w:u w:val="none"/>
                <w:lang w:val="en-US" w:eastAsia="zh-CN"/>
              </w:rPr>
              <w:t>0</w:t>
            </w: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103015002</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地方大中型水库库区基金收入</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103015501</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福利彩票公益金收入</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103015502</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体育彩票公益金收入</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1030156</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城市基础设施配套费收入</w:t>
            </w:r>
          </w:p>
        </w:tc>
        <w:tc>
          <w:tcPr>
            <w:tcW w:w="1215"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374</w:t>
            </w:r>
          </w:p>
        </w:tc>
        <w:tc>
          <w:tcPr>
            <w:tcW w:w="1128" w:type="dxa"/>
            <w:shd w:val="clear" w:color="auto" w:fill="FFFFFF"/>
            <w:noWrap/>
            <w:vAlign w:val="bottom"/>
          </w:tcPr>
          <w:p>
            <w:pPr>
              <w:jc w:val="center"/>
              <w:rPr>
                <w:rFonts w:hint="eastAsia" w:ascii="Times New Roman" w:hAnsi="Times New Roman" w:eastAsia="宋体" w:cs="Times New Roman"/>
                <w:i w:val="0"/>
                <w:iCs w:val="0"/>
                <w:color w:val="000000"/>
                <w:sz w:val="22"/>
                <w:szCs w:val="22"/>
                <w:u w:val="none"/>
                <w:lang w:val="en-US" w:eastAsia="zh-CN"/>
              </w:rPr>
            </w:pPr>
            <w:r>
              <w:rPr>
                <w:rFonts w:hint="eastAsia" w:cs="Times New Roman"/>
                <w:i w:val="0"/>
                <w:iCs w:val="0"/>
                <w:color w:val="000000"/>
                <w:sz w:val="22"/>
                <w:szCs w:val="22"/>
                <w:u w:val="none"/>
                <w:lang w:val="en-US" w:eastAsia="zh-CN"/>
              </w:rPr>
              <w:t>0</w:t>
            </w: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1030157</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小型水库移民扶助基金收入</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103015803</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地方重大水利工程建设资金</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1030159</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车辆通行费</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1030178</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污水处理费收入</w:t>
            </w:r>
          </w:p>
        </w:tc>
        <w:tc>
          <w:tcPr>
            <w:tcW w:w="1215"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1128" w:type="dxa"/>
            <w:shd w:val="clear" w:color="auto" w:fill="FFFFFF"/>
            <w:noWrap/>
            <w:vAlign w:val="bottom"/>
          </w:tcPr>
          <w:p>
            <w:pPr>
              <w:jc w:val="center"/>
              <w:rPr>
                <w:rFonts w:hint="eastAsia" w:ascii="Times New Roman" w:hAnsi="Times New Roman" w:eastAsia="宋体" w:cs="Times New Roman"/>
                <w:i w:val="0"/>
                <w:iCs w:val="0"/>
                <w:color w:val="000000"/>
                <w:sz w:val="22"/>
                <w:szCs w:val="22"/>
                <w:u w:val="none"/>
                <w:lang w:val="en-US" w:eastAsia="zh-CN"/>
              </w:rPr>
            </w:pPr>
            <w:r>
              <w:rPr>
                <w:rFonts w:hint="eastAsia" w:cs="Times New Roman"/>
                <w:i w:val="0"/>
                <w:iCs w:val="0"/>
                <w:color w:val="000000"/>
                <w:sz w:val="22"/>
                <w:szCs w:val="22"/>
                <w:u w:val="none"/>
                <w:lang w:val="en-US" w:eastAsia="zh-CN"/>
              </w:rPr>
              <w:t>0</w:t>
            </w: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103018003</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福利彩票销售机构的业务费用</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103018004</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体育彩票销售机构的业务费用</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103018005</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彩票兑奖周转金</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103018006</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彩票发行销售风险基金</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103018007</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彩票市场调控资金收入</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1030182</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耕地保护考核奖惩基金收入</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1030183</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超长期特别国债财务基金收入</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1030199</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其他政府性基金收入</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1031003</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海南省高等级公路车辆通行附加费专项债务对应项目专项收入</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1031005</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国家电影事业发展专项资金专项债务对应项目专项收入</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103100601</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土地储备专项债券对应项目专项收入</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103100602</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棚户区改造专项债券对应项目专项收入</w:t>
            </w:r>
          </w:p>
        </w:tc>
        <w:tc>
          <w:tcPr>
            <w:tcW w:w="1215"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1128" w:type="dxa"/>
            <w:shd w:val="clear" w:color="auto" w:fill="FFFFFF"/>
            <w:noWrap/>
            <w:vAlign w:val="bottom"/>
          </w:tcPr>
          <w:p>
            <w:pPr>
              <w:jc w:val="center"/>
              <w:rPr>
                <w:rFonts w:hint="eastAsia" w:ascii="Times New Roman" w:hAnsi="Times New Roman" w:eastAsia="宋体" w:cs="Times New Roman"/>
                <w:i w:val="0"/>
                <w:iCs w:val="0"/>
                <w:color w:val="000000"/>
                <w:sz w:val="22"/>
                <w:szCs w:val="22"/>
                <w:u w:val="none"/>
                <w:lang w:val="en-US" w:eastAsia="zh-CN"/>
              </w:rPr>
            </w:pPr>
            <w:r>
              <w:rPr>
                <w:rFonts w:hint="eastAsia" w:cs="Times New Roman"/>
                <w:i w:val="0"/>
                <w:iCs w:val="0"/>
                <w:color w:val="000000"/>
                <w:sz w:val="22"/>
                <w:szCs w:val="22"/>
                <w:u w:val="none"/>
                <w:lang w:val="en-US" w:eastAsia="zh-CN"/>
              </w:rPr>
              <w:t>0</w:t>
            </w: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103100699</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其他国有土地使用权出让金专项债务对应项目专项收入</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1031008</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农业土地开发资金专项债务对应项目专项收入</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1031009</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大中型水库库区基金专项债务对应项目专项收入</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1031010</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城市基础设施配套费专项债务对应项目专项收入</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1031011</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小型水库移民扶助基金专项债务对应项目专项收入</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1031012</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国家重大水利工程建设基金专项债务对应项目专项收入</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103101301</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政府收费公路专项债券对应项目专项收入</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103101399</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其他车辆通行费专项债务对应项目专项收入</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1031014</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污水处理费专项债务对应项目专项收入</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103109998</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其他地方自行试点项目收益专项债券对应项目专项收入</w:t>
            </w:r>
          </w:p>
        </w:tc>
        <w:tc>
          <w:tcPr>
            <w:tcW w:w="1215"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2880</w:t>
            </w:r>
          </w:p>
        </w:tc>
        <w:tc>
          <w:tcPr>
            <w:tcW w:w="112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5402</w:t>
            </w:r>
          </w:p>
        </w:tc>
        <w:tc>
          <w:tcPr>
            <w:tcW w:w="1425" w:type="dxa"/>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103109999</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其他政府性基金专项债务对应项目专项收入</w:t>
            </w:r>
          </w:p>
        </w:tc>
        <w:tc>
          <w:tcPr>
            <w:tcW w:w="1215" w:type="dxa"/>
            <w:shd w:val="clear" w:color="auto" w:fill="FFFFFF"/>
            <w:noWrap/>
            <w:vAlign w:val="bottom"/>
          </w:tcPr>
          <w:p>
            <w:pPr>
              <w:jc w:val="center"/>
              <w:rPr>
                <w:rFonts w:hint="eastAsia" w:ascii="Times New Roman" w:hAnsi="Times New Roman" w:eastAsia="宋体" w:cs="Times New Roman"/>
                <w:i w:val="0"/>
                <w:iCs w:val="0"/>
                <w:color w:val="000000"/>
                <w:sz w:val="22"/>
                <w:szCs w:val="22"/>
                <w:u w:val="none"/>
                <w:lang w:val="en-US" w:eastAsia="zh-CN"/>
              </w:rPr>
            </w:pPr>
            <w:r>
              <w:rPr>
                <w:rFonts w:hint="eastAsia" w:cs="Times New Roman"/>
                <w:i w:val="0"/>
                <w:iCs w:val="0"/>
                <w:color w:val="000000"/>
                <w:sz w:val="22"/>
                <w:szCs w:val="22"/>
                <w:u w:val="none"/>
                <w:lang w:val="en-US" w:eastAsia="zh-CN"/>
              </w:rPr>
              <w:t>0</w:t>
            </w:r>
          </w:p>
        </w:tc>
        <w:tc>
          <w:tcPr>
            <w:tcW w:w="112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791</w:t>
            </w: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11004</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政府性基金转移支付收入</w:t>
            </w:r>
          </w:p>
        </w:tc>
        <w:tc>
          <w:tcPr>
            <w:tcW w:w="1215"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1221</w:t>
            </w:r>
          </w:p>
        </w:tc>
        <w:tc>
          <w:tcPr>
            <w:tcW w:w="1128"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1148</w:t>
            </w:r>
          </w:p>
        </w:tc>
        <w:tc>
          <w:tcPr>
            <w:tcW w:w="1425" w:type="dxa"/>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1100413</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其中：超长期特别国债转移支付收入</w:t>
            </w:r>
          </w:p>
        </w:tc>
        <w:tc>
          <w:tcPr>
            <w:tcW w:w="1215"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444</w:t>
            </w:r>
          </w:p>
        </w:tc>
        <w:tc>
          <w:tcPr>
            <w:tcW w:w="1128" w:type="dxa"/>
            <w:shd w:val="clear" w:color="auto" w:fill="FFFFFF"/>
            <w:noWrap/>
            <w:vAlign w:val="bottom"/>
          </w:tcPr>
          <w:p>
            <w:pPr>
              <w:jc w:val="center"/>
              <w:rPr>
                <w:rFonts w:hint="eastAsia" w:ascii="Times New Roman" w:hAnsi="Times New Roman" w:eastAsia="宋体" w:cs="Times New Roman"/>
                <w:i w:val="0"/>
                <w:iCs w:val="0"/>
                <w:color w:val="000000"/>
                <w:sz w:val="22"/>
                <w:szCs w:val="22"/>
                <w:u w:val="none"/>
                <w:lang w:val="en-US" w:eastAsia="zh-CN"/>
              </w:rPr>
            </w:pPr>
            <w:r>
              <w:rPr>
                <w:rFonts w:hint="eastAsia" w:cs="Times New Roman"/>
                <w:i w:val="0"/>
                <w:iCs w:val="0"/>
                <w:color w:val="000000"/>
                <w:sz w:val="22"/>
                <w:szCs w:val="22"/>
                <w:u w:val="none"/>
                <w:lang w:val="en-US" w:eastAsia="zh-CN"/>
              </w:rPr>
              <w:t>0</w:t>
            </w: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1100491</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政府性基金预算省补助计划单列市收入</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110060301</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抗疫特别国债还本上解收入</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110060302</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超长期特别国债还本上解收入</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110060399</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其他政府性基金上解收入</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11006039991</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政府性基金预算计划单列市上解省收入</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2"/>
                <w:szCs w:val="22"/>
                <w:u w:val="none"/>
                <w:lang w:val="en-US" w:eastAsia="zh-CN" w:bidi="ar"/>
                <w14:textFill>
                  <w14:solidFill>
                    <w14:schemeClr w14:val="tx1"/>
                  </w14:solidFill>
                </w14:textFill>
              </w:rPr>
              <w:t>1100802</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themeColor="text1"/>
                <w:sz w:val="22"/>
                <w:szCs w:val="22"/>
                <w:u w:val="none"/>
                <w14:textFill>
                  <w14:solidFill>
                    <w14:schemeClr w14:val="tx1"/>
                  </w14:solidFill>
                </w14:textFill>
              </w:rPr>
            </w:pPr>
            <w:r>
              <w:rPr>
                <w:rFonts w:hint="default" w:ascii="Times New Roman" w:hAnsi="Times New Roman" w:eastAsia="仿宋_GB2312" w:cs="Times New Roman"/>
                <w:i w:val="0"/>
                <w:iCs w:val="0"/>
                <w:color w:val="000000" w:themeColor="text1"/>
                <w:kern w:val="0"/>
                <w:sz w:val="22"/>
                <w:szCs w:val="22"/>
                <w:u w:val="none"/>
                <w:lang w:val="en-US" w:eastAsia="zh-CN" w:bidi="ar"/>
                <w14:textFill>
                  <w14:solidFill>
                    <w14:schemeClr w14:val="tx1"/>
                  </w14:solidFill>
                </w14:textFill>
              </w:rPr>
              <w:t>政府性基金预算上年结余收入</w:t>
            </w:r>
          </w:p>
        </w:tc>
        <w:tc>
          <w:tcPr>
            <w:tcW w:w="1215"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2"/>
                <w:szCs w:val="22"/>
                <w:u w:val="none"/>
                <w:lang w:val="en-US" w:eastAsia="zh-CN" w:bidi="ar"/>
                <w14:textFill>
                  <w14:solidFill>
                    <w14:schemeClr w14:val="tx1"/>
                  </w14:solidFill>
                </w14:textFill>
              </w:rPr>
              <w:t>667</w:t>
            </w:r>
          </w:p>
        </w:tc>
        <w:tc>
          <w:tcPr>
            <w:tcW w:w="1128" w:type="dxa"/>
            <w:shd w:val="clear" w:color="auto" w:fill="D9D9D9"/>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2"/>
                <w:szCs w:val="22"/>
                <w:u w:val="none"/>
                <w:lang w:val="en-US" w:eastAsia="zh-CN" w:bidi="ar"/>
                <w14:textFill>
                  <w14:solidFill>
                    <w14:schemeClr w14:val="tx1"/>
                  </w14:solidFill>
                </w14:textFill>
              </w:rPr>
              <w:t>21432</w:t>
            </w:r>
          </w:p>
        </w:tc>
        <w:tc>
          <w:tcPr>
            <w:tcW w:w="1425" w:type="dxa"/>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themeColor="text1"/>
                <w:kern w:val="0"/>
                <w:sz w:val="22"/>
                <w:szCs w:val="22"/>
                <w:u w:val="none"/>
                <w:lang w:val="en-US" w:eastAsia="zh-CN" w:bidi="ar"/>
                <w14:textFill>
                  <w14:solidFill>
                    <w14:schemeClr w14:val="tx1"/>
                  </w14:solidFill>
                </w14:textFill>
              </w:rPr>
              <w:t>3113.2%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110090202</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从一般公共预算调入用于补充超长期特别国债偿债备付金的资金</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110090203</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从国有资本经营预算调入用于补充超长期特别国债偿债备付金的资金</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110090204</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从一般公共预算调入用于偿还超长期特别国债本金的资金</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110090205</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从国有资本经营预算调入用于偿还超长期特别国债本金的资金</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110090206</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从一般公共预算调入用于偿还抗疫特别国债本金的资金</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110090207</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从国有资本经营预算调入用于偿还抗疫特别国债本金的资金</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11009029901</w:t>
            </w:r>
          </w:p>
        </w:tc>
        <w:tc>
          <w:tcPr>
            <w:tcW w:w="5929" w:type="dxa"/>
            <w:shd w:val="clear" w:color="auto" w:fill="FFFFFF"/>
            <w:noWrap/>
            <w:vAlign w:val="center"/>
          </w:tcPr>
          <w:p>
            <w:pPr>
              <w:keepNext w:val="0"/>
              <w:keepLines w:val="0"/>
              <w:widowControl/>
              <w:suppressLineNumbers w:val="0"/>
              <w:ind w:firstLineChars="10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其他调入政府性基金预算资金</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11009029991</w:t>
            </w:r>
          </w:p>
        </w:tc>
        <w:tc>
          <w:tcPr>
            <w:tcW w:w="5929" w:type="dxa"/>
            <w:shd w:val="clear" w:color="auto" w:fill="FFFFFF"/>
            <w:noWrap/>
            <w:vAlign w:val="center"/>
          </w:tcPr>
          <w:p>
            <w:pPr>
              <w:keepNext w:val="0"/>
              <w:keepLines w:val="0"/>
              <w:widowControl/>
              <w:suppressLineNumbers w:val="0"/>
              <w:ind w:firstLineChars="10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一般公共预算调入政府性基金预算资金</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1101102</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地方政府专项债务转贷收入</w:t>
            </w:r>
          </w:p>
        </w:tc>
        <w:tc>
          <w:tcPr>
            <w:tcW w:w="1215"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47838</w:t>
            </w:r>
          </w:p>
        </w:tc>
        <w:tc>
          <w:tcPr>
            <w:tcW w:w="1128" w:type="dxa"/>
            <w:shd w:val="clear" w:color="auto" w:fill="FFFFFF"/>
            <w:noWrap/>
            <w:vAlign w:val="bottom"/>
          </w:tcPr>
          <w:p>
            <w:pPr>
              <w:jc w:val="center"/>
              <w:rPr>
                <w:rFonts w:hint="eastAsia" w:ascii="Times New Roman" w:hAnsi="Times New Roman" w:eastAsia="宋体" w:cs="Times New Roman"/>
                <w:i w:val="0"/>
                <w:iCs w:val="0"/>
                <w:color w:val="000000"/>
                <w:sz w:val="22"/>
                <w:szCs w:val="22"/>
                <w:u w:val="none"/>
                <w:lang w:val="en-US" w:eastAsia="zh-CN"/>
              </w:rPr>
            </w:pPr>
            <w:r>
              <w:rPr>
                <w:rFonts w:hint="eastAsia" w:cs="Times New Roman"/>
                <w:i w:val="0"/>
                <w:iCs w:val="0"/>
                <w:color w:val="000000"/>
                <w:sz w:val="22"/>
                <w:szCs w:val="22"/>
                <w:u w:val="none"/>
                <w:lang w:val="en-US" w:eastAsia="zh-CN"/>
              </w:rPr>
              <w:t>0</w:t>
            </w:r>
          </w:p>
        </w:tc>
        <w:tc>
          <w:tcPr>
            <w:tcW w:w="1425" w:type="dxa"/>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1102201</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动用超长期特别国债偿债备付金</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2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1050402</w:t>
            </w:r>
          </w:p>
        </w:tc>
        <w:tc>
          <w:tcPr>
            <w:tcW w:w="592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专项债务收入</w:t>
            </w:r>
          </w:p>
        </w:tc>
        <w:tc>
          <w:tcPr>
            <w:tcW w:w="1215"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128"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425" w:type="dxa"/>
            <w:shd w:val="clear" w:color="auto" w:fill="auto"/>
            <w:noWrap/>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1426" w:type="dxa"/>
            <w:shd w:val="clear" w:color="auto" w:fill="FFFFFF"/>
            <w:noWrap/>
            <w:vAlign w:val="bottom"/>
          </w:tcPr>
          <w:p>
            <w:pPr>
              <w:jc w:val="both"/>
              <w:rPr>
                <w:rFonts w:hint="default" w:ascii="Times New Roman" w:hAnsi="Times New Roman" w:eastAsia="宋体" w:cs="Times New Roman"/>
                <w:i w:val="0"/>
                <w:iCs w:val="0"/>
                <w:color w:val="000000"/>
                <w:sz w:val="24"/>
                <w:szCs w:val="24"/>
                <w:u w:val="none"/>
              </w:rPr>
            </w:pPr>
          </w:p>
        </w:tc>
        <w:tc>
          <w:tcPr>
            <w:tcW w:w="5929" w:type="dxa"/>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政府性基金收入合计</w:t>
            </w:r>
          </w:p>
        </w:tc>
        <w:tc>
          <w:tcPr>
            <w:tcW w:w="1215" w:type="dxa"/>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54539</w:t>
            </w:r>
          </w:p>
        </w:tc>
        <w:tc>
          <w:tcPr>
            <w:tcW w:w="1128" w:type="dxa"/>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71773</w:t>
            </w:r>
          </w:p>
        </w:tc>
        <w:tc>
          <w:tcPr>
            <w:tcW w:w="1425" w:type="dxa"/>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31.6%</w:t>
            </w:r>
          </w:p>
        </w:tc>
      </w:tr>
    </w:tbl>
    <w:p>
      <w:pPr>
        <w:tabs>
          <w:tab w:val="left" w:pos="621"/>
        </w:tabs>
        <w:bidi w:val="0"/>
        <w:jc w:val="left"/>
        <w:rPr>
          <w:rFonts w:hint="default" w:ascii="Times New Roman" w:hAnsi="Times New Roman" w:eastAsia="宋体" w:cs="Times New Roman"/>
          <w:kern w:val="2"/>
          <w:sz w:val="21"/>
          <w:szCs w:val="24"/>
          <w:lang w:val="en-US" w:eastAsia="zh-CN" w:bidi="ar-SA"/>
        </w:rPr>
      </w:pPr>
    </w:p>
    <w:p>
      <w:pPr>
        <w:pStyle w:val="2"/>
        <w:rPr>
          <w:rFonts w:hint="default"/>
          <w:lang w:val="en-US" w:eastAsia="zh-CN"/>
        </w:rPr>
      </w:pPr>
    </w:p>
    <w:tbl>
      <w:tblPr>
        <w:tblStyle w:val="8"/>
        <w:tblW w:w="10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206"/>
        <w:gridCol w:w="5689"/>
        <w:gridCol w:w="1012"/>
        <w:gridCol w:w="1291"/>
        <w:gridCol w:w="16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0" w:hRule="atLeast"/>
          <w:jc w:val="center"/>
        </w:trPr>
        <w:tc>
          <w:tcPr>
            <w:tcW w:w="120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表12</w:t>
            </w:r>
          </w:p>
        </w:tc>
        <w:tc>
          <w:tcPr>
            <w:tcW w:w="5689" w:type="dxa"/>
            <w:tcBorders>
              <w:top w:val="nil"/>
              <w:left w:val="nil"/>
              <w:bottom w:val="nil"/>
              <w:right w:val="nil"/>
            </w:tcBorders>
            <w:shd w:val="clear" w:color="auto" w:fill="auto"/>
            <w:vAlign w:val="bottom"/>
          </w:tcPr>
          <w:p>
            <w:pPr>
              <w:jc w:val="both"/>
              <w:rPr>
                <w:rFonts w:hint="default" w:ascii="Times New Roman" w:hAnsi="Times New Roman" w:eastAsia="宋体" w:cs="Times New Roman"/>
                <w:i w:val="0"/>
                <w:iCs w:val="0"/>
                <w:color w:val="000000"/>
                <w:sz w:val="24"/>
                <w:szCs w:val="24"/>
                <w:u w:val="none"/>
              </w:rPr>
            </w:pPr>
          </w:p>
        </w:tc>
        <w:tc>
          <w:tcPr>
            <w:tcW w:w="1012" w:type="dxa"/>
            <w:tcBorders>
              <w:top w:val="nil"/>
              <w:left w:val="nil"/>
              <w:bottom w:val="nil"/>
              <w:right w:val="nil"/>
            </w:tcBorders>
            <w:shd w:val="clear" w:color="auto" w:fill="auto"/>
            <w:vAlign w:val="bottom"/>
          </w:tcPr>
          <w:p>
            <w:pPr>
              <w:jc w:val="both"/>
              <w:rPr>
                <w:rFonts w:hint="default" w:ascii="Times New Roman" w:hAnsi="Times New Roman" w:eastAsia="宋体" w:cs="Times New Roman"/>
                <w:i w:val="0"/>
                <w:iCs w:val="0"/>
                <w:color w:val="000000"/>
                <w:sz w:val="24"/>
                <w:szCs w:val="24"/>
                <w:u w:val="none"/>
              </w:rPr>
            </w:pPr>
          </w:p>
        </w:tc>
        <w:tc>
          <w:tcPr>
            <w:tcW w:w="1291" w:type="dxa"/>
            <w:tcBorders>
              <w:top w:val="nil"/>
              <w:left w:val="nil"/>
              <w:bottom w:val="nil"/>
              <w:right w:val="nil"/>
            </w:tcBorders>
            <w:shd w:val="clear" w:color="auto" w:fill="auto"/>
            <w:vAlign w:val="bottom"/>
          </w:tcPr>
          <w:p>
            <w:pPr>
              <w:jc w:val="both"/>
              <w:rPr>
                <w:rFonts w:hint="default" w:ascii="Times New Roman" w:hAnsi="Times New Roman" w:eastAsia="宋体" w:cs="Times New Roman"/>
                <w:i w:val="0"/>
                <w:iCs w:val="0"/>
                <w:color w:val="000000"/>
                <w:sz w:val="24"/>
                <w:szCs w:val="24"/>
                <w:u w:val="none"/>
              </w:rPr>
            </w:pPr>
          </w:p>
        </w:tc>
        <w:tc>
          <w:tcPr>
            <w:tcW w:w="1681" w:type="dxa"/>
            <w:tcBorders>
              <w:top w:val="nil"/>
              <w:left w:val="nil"/>
              <w:bottom w:val="nil"/>
              <w:right w:val="nil"/>
            </w:tcBorders>
            <w:shd w:val="clear" w:color="auto" w:fill="auto"/>
            <w:vAlign w:val="bottom"/>
          </w:tcPr>
          <w:p>
            <w:pPr>
              <w:jc w:val="both"/>
              <w:rPr>
                <w:rFonts w:hint="default" w:ascii="Times New Roman" w:hAnsi="Times New Roman" w:eastAsia="宋体" w:cs="Times New Roman"/>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879"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2025年泽普县本级政府性基金支出表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tcBorders>
              <w:top w:val="nil"/>
              <w:left w:val="nil"/>
              <w:bottom w:val="single" w:color="auto" w:sz="4" w:space="0"/>
              <w:right w:val="nil"/>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c>
          <w:tcPr>
            <w:tcW w:w="5689" w:type="dxa"/>
            <w:tcBorders>
              <w:top w:val="nil"/>
              <w:left w:val="nil"/>
              <w:bottom w:val="single" w:color="auto" w:sz="4" w:space="0"/>
              <w:right w:val="nil"/>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c>
          <w:tcPr>
            <w:tcW w:w="1012" w:type="dxa"/>
            <w:tcBorders>
              <w:top w:val="nil"/>
              <w:left w:val="nil"/>
              <w:bottom w:val="single" w:color="auto" w:sz="4" w:space="0"/>
              <w:right w:val="nil"/>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c>
          <w:tcPr>
            <w:tcW w:w="1291" w:type="dxa"/>
            <w:tcBorders>
              <w:top w:val="nil"/>
              <w:left w:val="nil"/>
              <w:bottom w:val="single" w:color="auto" w:sz="4" w:space="0"/>
              <w:right w:val="nil"/>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c>
          <w:tcPr>
            <w:tcW w:w="1681" w:type="dxa"/>
            <w:tcBorders>
              <w:top w:val="nil"/>
              <w:left w:val="nil"/>
              <w:bottom w:val="single" w:color="auto" w:sz="4" w:space="0"/>
              <w:right w:val="nil"/>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206" w:type="dxa"/>
            <w:tcBorders>
              <w:top w:val="single" w:color="auto" w:sz="4" w:space="0"/>
            </w:tcBorders>
            <w:shd w:val="clear" w:color="auto" w:fill="FFFFFF"/>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科目编码</w:t>
            </w:r>
          </w:p>
        </w:tc>
        <w:tc>
          <w:tcPr>
            <w:tcW w:w="5689" w:type="dxa"/>
            <w:tcBorders>
              <w:top w:val="single" w:color="auto"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项  目</w:t>
            </w:r>
          </w:p>
        </w:tc>
        <w:tc>
          <w:tcPr>
            <w:tcW w:w="1012" w:type="dxa"/>
            <w:tcBorders>
              <w:top w:val="single" w:color="auto"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2024年完成数</w:t>
            </w:r>
          </w:p>
        </w:tc>
        <w:tc>
          <w:tcPr>
            <w:tcW w:w="1291" w:type="dxa"/>
            <w:tcBorders>
              <w:top w:val="single" w:color="auto"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2025年预算数</w:t>
            </w:r>
          </w:p>
        </w:tc>
        <w:tc>
          <w:tcPr>
            <w:tcW w:w="1681" w:type="dxa"/>
            <w:tcBorders>
              <w:top w:val="single" w:color="auto"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预算数为上年完成数的%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2059803</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职业教育</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2059804</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特殊教育</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2059899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其他教育支出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2061001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乏燃料运输</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2061002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乏燃料离堆贮存</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2061003</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乏燃料后处理</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2061004</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高放废物的处理处置</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2061005</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乏燃料后处理厂的建设、运行、改造和退役</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2061099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其他乏燃料处理处置基金支出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2069801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基础研究</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2069802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应用研究</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2069803</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技术研究与开发</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2069804</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科技条件与服务</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2069805</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科技重大项目</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2069899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其他科技支出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2070701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资助国产影片放映</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2070702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资助影院建设</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2070703</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资助少数民族语电影译制</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2070704</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购买农村电影公益性放映版权服务</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2070799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其他国家电影事业发展专项资金支出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2070901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宣传促销</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2070902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行业规划</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2070903</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旅游事业补助</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2070904</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地方旅游开发项目补助</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2070999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其他旅游发展基金支出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2071001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资助城市影院</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2071099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其他国家电影事业发展专项资金对应专项债务收入支出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2079801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文化和旅游</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2079802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文物</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2079803</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体育</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2079804</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新闻出版电影</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2079805</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广播电视</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2079899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其他文化旅游体育与传媒支出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2089801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养老机构及服务设施</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2089802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公共就业服务设施</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2089899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其他社会保障和就业支出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2109801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公立医院</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2109802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基层医疗卫生机构</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2109803</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公共卫生机构</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2109804</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托育机构</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2109899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其他卫生健康支出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2116001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风力发电补助</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2116002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太阳能发电补助</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2116003</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生物质能发电补助</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2116099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其他可再生能源电价附加收入安排的支出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2116101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回收处理费用补贴</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2116102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信息系统建设</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2116103</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基金征管经费</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2116104</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其他废弃电器电子产品处理基金支出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2119801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水污染综合治理</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2119802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应对气候变化</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2119803</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“三北”工程建设</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2119899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其他节能环保支出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2120801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征地和拆迁补偿支出</w:t>
            </w:r>
          </w:p>
        </w:tc>
        <w:tc>
          <w:tcPr>
            <w:tcW w:w="1012"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116</w:t>
            </w:r>
          </w:p>
        </w:tc>
        <w:tc>
          <w:tcPr>
            <w:tcW w:w="1291"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4167</w:t>
            </w:r>
          </w:p>
        </w:tc>
        <w:tc>
          <w:tcPr>
            <w:tcW w:w="1681"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2120802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土地开发支出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2120803</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城市建设支出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2120804</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农村基础设施建设支出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2120805</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补助被征地农民支出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2120806</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土地出让业务支出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2120807</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廉租住房支出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2120809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支付破产或改制企业职工安置费</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2120810</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棚户区改造支出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2120811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公共租赁住房支出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2120813</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保障性住房租金补贴</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2120814</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农业生产发展支出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2120815</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农村社会事业支出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2120816</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农业农村生态环境支出</w:t>
            </w:r>
          </w:p>
        </w:tc>
        <w:tc>
          <w:tcPr>
            <w:tcW w:w="1012"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150</w:t>
            </w:r>
          </w:p>
        </w:tc>
        <w:tc>
          <w:tcPr>
            <w:tcW w:w="1291" w:type="dxa"/>
            <w:shd w:val="clear" w:color="auto" w:fill="FFFFFF"/>
            <w:noWrap/>
            <w:vAlign w:val="bottom"/>
          </w:tcPr>
          <w:p>
            <w:pPr>
              <w:jc w:val="center"/>
              <w:rPr>
                <w:rFonts w:hint="eastAsia" w:ascii="Times New Roman" w:hAnsi="Times New Roman" w:eastAsia="宋体" w:cs="Times New Roman"/>
                <w:i w:val="0"/>
                <w:iCs w:val="0"/>
                <w:color w:val="000000"/>
                <w:sz w:val="22"/>
                <w:szCs w:val="22"/>
                <w:u w:val="none"/>
                <w:lang w:val="en-US" w:eastAsia="zh-CN"/>
              </w:rPr>
            </w:pPr>
            <w:r>
              <w:rPr>
                <w:rFonts w:hint="eastAsia" w:cs="Times New Roman"/>
                <w:i w:val="0"/>
                <w:iCs w:val="0"/>
                <w:color w:val="000000"/>
                <w:sz w:val="22"/>
                <w:szCs w:val="22"/>
                <w:u w:val="none"/>
                <w:lang w:val="en-US" w:eastAsia="zh-CN"/>
              </w:rPr>
              <w:t>0</w:t>
            </w:r>
          </w:p>
        </w:tc>
        <w:tc>
          <w:tcPr>
            <w:tcW w:w="1681"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2120899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其他国有土地使用权出让收入安排的支出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2121001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征地和拆迁补偿支出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2121002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土地开发支出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2121099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其他国有土地收益基金支出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农业土地开发资金安排的支出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2121301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城市公共设施</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2121302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城市环境卫生</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2121303</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公有房屋</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2121304</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城市防洪</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2121399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其他城市基础设施配套费安排的支出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2121401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污水处理设施建设和运营</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2121402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代征手续费</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2121499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其他污水处理费安排的支出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2121501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征地和拆迁补偿支出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2121502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土地开发支出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2121599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其他土地储备专项债券收入安排的支出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2121601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征地和拆迁补偿支出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2121602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土地开发支出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2121699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其他棚户区改造专项债券收入安排的支出</w:t>
            </w:r>
          </w:p>
        </w:tc>
        <w:tc>
          <w:tcPr>
            <w:tcW w:w="1012"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2000</w:t>
            </w:r>
          </w:p>
        </w:tc>
        <w:tc>
          <w:tcPr>
            <w:tcW w:w="1291" w:type="dxa"/>
            <w:shd w:val="clear" w:color="auto" w:fill="FFFFFF"/>
            <w:noWrap/>
            <w:vAlign w:val="bottom"/>
          </w:tcPr>
          <w:p>
            <w:pPr>
              <w:jc w:val="center"/>
              <w:rPr>
                <w:rFonts w:hint="eastAsia" w:ascii="Times New Roman" w:hAnsi="Times New Roman" w:eastAsia="宋体" w:cs="Times New Roman"/>
                <w:i w:val="0"/>
                <w:iCs w:val="0"/>
                <w:color w:val="000000"/>
                <w:sz w:val="22"/>
                <w:szCs w:val="22"/>
                <w:u w:val="none"/>
                <w:lang w:val="en-US" w:eastAsia="zh-CN"/>
              </w:rPr>
            </w:pPr>
            <w:r>
              <w:rPr>
                <w:rFonts w:hint="eastAsia" w:cs="Times New Roman"/>
                <w:i w:val="0"/>
                <w:iCs w:val="0"/>
                <w:color w:val="000000"/>
                <w:sz w:val="22"/>
                <w:szCs w:val="22"/>
                <w:u w:val="none"/>
                <w:lang w:val="en-US" w:eastAsia="zh-CN"/>
              </w:rPr>
              <w:t>0</w:t>
            </w:r>
          </w:p>
        </w:tc>
        <w:tc>
          <w:tcPr>
            <w:tcW w:w="1681"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2121701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城市公共设施</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2121702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城市环境卫生</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2121703</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公有房屋</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2121704</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城市防洪</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2121799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其他城市基础设施配套费对应专项债务收入安排的支出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2121801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污水处理设施建设和运营</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2121899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其他污水处理费对应专项债务收入安排的支出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2121901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征地和拆迁补偿支出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2121902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土地开发支出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2121903</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城市建设支出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2121904</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农村基础设施建设支出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2121905</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廉租住房支出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2121906</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棚户区改造支出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2121907</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公共租赁住房支出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2121999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其他国有土地使用权出让收入对应专项债务收入安排的支出</w:t>
            </w:r>
          </w:p>
        </w:tc>
        <w:tc>
          <w:tcPr>
            <w:tcW w:w="1012"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5000</w:t>
            </w:r>
          </w:p>
        </w:tc>
        <w:tc>
          <w:tcPr>
            <w:tcW w:w="1291" w:type="dxa"/>
            <w:shd w:val="clear" w:color="auto" w:fill="FFFFFF"/>
            <w:noWrap/>
            <w:vAlign w:val="bottom"/>
          </w:tcPr>
          <w:p>
            <w:pPr>
              <w:jc w:val="center"/>
              <w:rPr>
                <w:rFonts w:hint="eastAsia" w:ascii="Times New Roman" w:hAnsi="Times New Roman" w:eastAsia="宋体" w:cs="Times New Roman"/>
                <w:i w:val="0"/>
                <w:iCs w:val="0"/>
                <w:color w:val="000000"/>
                <w:sz w:val="22"/>
                <w:szCs w:val="22"/>
                <w:u w:val="none"/>
                <w:lang w:val="en-US" w:eastAsia="zh-CN"/>
              </w:rPr>
            </w:pPr>
            <w:r>
              <w:rPr>
                <w:rFonts w:hint="eastAsia" w:ascii="Times New Roman" w:hAnsi="Times New Roman" w:eastAsia="宋体" w:cs="Times New Roman"/>
                <w:i w:val="0"/>
                <w:iCs w:val="0"/>
                <w:color w:val="000000"/>
                <w:kern w:val="0"/>
                <w:sz w:val="22"/>
                <w:szCs w:val="22"/>
                <w:u w:val="none"/>
                <w:lang w:val="en-US" w:eastAsia="zh-CN" w:bidi="ar"/>
              </w:rPr>
              <w:t>0</w:t>
            </w:r>
          </w:p>
        </w:tc>
        <w:tc>
          <w:tcPr>
            <w:tcW w:w="1681"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2129801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城乡社区公共设施</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2129899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其他城乡社区支出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2136601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基础设施建设和经济发展</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2136602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解决移民遗留问题</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2136603</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库区防护工程维护</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2136699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其他大中型水库库区基金支出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2136701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基础设施建设和经济发展</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2136702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解决移民遗留问题</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2136703</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库区维护和管理</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2136799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其他三峡水库库区基金支出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2136901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南水北调工程建设</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2136902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三峡后续工作</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2136903</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地方重大水利工程建设</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2136999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其他重大水利工程建设基金支出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2137001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基础设施建设和经济发展</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2137099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其他大中型水库库区基金对应专项债务收入支出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2137101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南水北调工程建设</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2137102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三峡工程后续工作</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2137103</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地方重大水利工程建设</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2137199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其他重大水利工程建设基金对应专项债务收入支出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2137201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移民补助</w:t>
            </w:r>
          </w:p>
        </w:tc>
        <w:tc>
          <w:tcPr>
            <w:tcW w:w="1012"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1291"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w:t>
            </w:r>
          </w:p>
        </w:tc>
        <w:tc>
          <w:tcPr>
            <w:tcW w:w="1681"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2137202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基础设施建设和经济发展</w:t>
            </w:r>
          </w:p>
        </w:tc>
        <w:tc>
          <w:tcPr>
            <w:tcW w:w="1012"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w:t>
            </w:r>
          </w:p>
        </w:tc>
        <w:tc>
          <w:tcPr>
            <w:tcW w:w="1291"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420</w:t>
            </w: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lang w:val="en-US" w:eastAsia="zh-CN"/>
              </w:rPr>
            </w:pPr>
            <w:r>
              <w:rPr>
                <w:rFonts w:hint="eastAsia" w:cs="Times New Roman"/>
                <w:i w:val="0"/>
                <w:iCs w:val="0"/>
                <w:color w:val="000000"/>
                <w:sz w:val="22"/>
                <w:szCs w:val="22"/>
                <w:u w:val="none"/>
                <w:lang w:val="en-US" w:eastAsia="zh-CN"/>
              </w:rPr>
              <w:t>80.25%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2137299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其他大中型水库移民后期扶持基金支出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2137301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移民补助</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2137302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基础设施建设和经济发展</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2137399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其他小型水库移民扶助基金支出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2137401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基础设施建设和经济发展</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2137499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其他小型水库移民扶助基金对应专项债务收入安排的支出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2139801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农业农村支出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2139802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水利支出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2139899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其他农林水支出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2146001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公路建设</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2146002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公路养护</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2146003</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公路还贷</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2146099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其他海南省高等级公路车辆通行附加费安排的支出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2146201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公路还贷</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2146202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政府还贷公路养护</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2146203</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政府还贷公路管理</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2146299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其他车辆通行费安排的支出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2146401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铁路建设投资</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2146402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购置铁路机车车辆</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2146403</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铁路还贷</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2146404</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建设项目铺底资金</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2146405</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勘测设计</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2146406</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注册资本金</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2146407</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周转资金</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2146499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其他铁路建设基金支出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2146801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应急处置费用</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2146802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控制清除污染</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2146803</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损失补偿</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2146804</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生态恢复</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2146805</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监视监测</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2146899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其他船舶油污损害赔偿基金支出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2146901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民航机场建设</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2146902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空管系统建设</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2146903</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民航安全</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2146904</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航线和机场补贴</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2146906</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民航节能减排</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2146907</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通用航空发展</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2146908</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征管经费</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2146909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民航科教和信息建设</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2146999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其他民航发展基金支出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2147001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公路建设</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2147099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其他海南省高等级公路车辆通行附加费对应专项债务收入安排的支出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2147101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公路建设</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2147199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其他政府收费公路专项债券收入安排的支出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21472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车辆通行费对应专项债务收入安排的支出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2149801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公路水路运输</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2149802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铁路运输</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2149803</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民用航空运输</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2149804</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邮政业支出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2149899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其他交通运输支出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2156201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中央农网还贷资金支出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2156202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地方农网还贷资金支出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2156299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其他农网还贷资金支出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2159801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资源勘探开发</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2159802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制造业</w:t>
            </w:r>
          </w:p>
        </w:tc>
        <w:tc>
          <w:tcPr>
            <w:tcW w:w="1012"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241</w:t>
            </w:r>
          </w:p>
        </w:tc>
        <w:tc>
          <w:tcPr>
            <w:tcW w:w="1291"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w:t>
            </w:r>
          </w:p>
        </w:tc>
        <w:tc>
          <w:tcPr>
            <w:tcW w:w="1681"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2159803</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工业和信息产业</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2159899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其他资源勘探工业信息等支出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2170402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中央特别国债经营基金支出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2170403</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中央特别国债经营基金财务支出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2200601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耕地保护</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2200602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补充耕地</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2219801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保障性租赁住房</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2219899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其他住房保障支出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2229801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设施建设</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2229899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其他粮油物资储备支出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2249801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自然灾害防治</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2249802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自然灾害恢复重建支出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2249899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其他灾害防治及应急管理支出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2290401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其他政府性基金安排的支出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2290402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其他地方自行试点项目收益专项债券收入安排的支出</w:t>
            </w:r>
          </w:p>
        </w:tc>
        <w:tc>
          <w:tcPr>
            <w:tcW w:w="1012"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12717</w:t>
            </w:r>
          </w:p>
        </w:tc>
        <w:tc>
          <w:tcPr>
            <w:tcW w:w="1291"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21168</w:t>
            </w:r>
          </w:p>
        </w:tc>
        <w:tc>
          <w:tcPr>
            <w:tcW w:w="1681"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2290403</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其他政府性基金债务收入安排的支出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2290802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福利彩票发行机构的业务费支出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2290803</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体育彩票发行机构的业务费支出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2290804</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福利彩票销售机构的业务费支出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2290805</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体育彩票销售机构的业务费支出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2290806</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彩票兑奖周转金支出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2290807</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彩票发行销售风险基金支出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2290808</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彩票市场调控资金支出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2290899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其他彩票发行销售机构业务费安排的支出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2290901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抗疫特别国债财务基金支出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2291001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超长期特别国债财务基金支出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2296001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用于补充全国社会保障基金的彩票公益金支出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2296002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用于社会福利的彩票公益金支出</w:t>
            </w:r>
          </w:p>
        </w:tc>
        <w:tc>
          <w:tcPr>
            <w:tcW w:w="1012"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935</w:t>
            </w:r>
          </w:p>
        </w:tc>
        <w:tc>
          <w:tcPr>
            <w:tcW w:w="1291"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370</w:t>
            </w:r>
          </w:p>
        </w:tc>
        <w:tc>
          <w:tcPr>
            <w:tcW w:w="1681"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2296003</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用于体育事业的彩票公益金支出</w:t>
            </w:r>
          </w:p>
        </w:tc>
        <w:tc>
          <w:tcPr>
            <w:tcW w:w="1012"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52</w:t>
            </w:r>
          </w:p>
        </w:tc>
        <w:tc>
          <w:tcPr>
            <w:tcW w:w="1291"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w:t>
            </w:r>
          </w:p>
        </w:tc>
        <w:tc>
          <w:tcPr>
            <w:tcW w:w="1681"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2296004</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用于教育事业的彩票公益金支出</w:t>
            </w:r>
          </w:p>
        </w:tc>
        <w:tc>
          <w:tcPr>
            <w:tcW w:w="1012"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1291"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w:t>
            </w:r>
          </w:p>
        </w:tc>
        <w:tc>
          <w:tcPr>
            <w:tcW w:w="1681"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2296005</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用于红十字事业的彩票公益金支出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2296006</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用于残疾人事业的彩票公益金支出</w:t>
            </w:r>
          </w:p>
        </w:tc>
        <w:tc>
          <w:tcPr>
            <w:tcW w:w="1012"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w:t>
            </w:r>
          </w:p>
        </w:tc>
        <w:tc>
          <w:tcPr>
            <w:tcW w:w="1291"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w:t>
            </w:r>
          </w:p>
        </w:tc>
        <w:tc>
          <w:tcPr>
            <w:tcW w:w="1681"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2296010</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用于文化事业的彩票公益金支出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2296011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用于巩固脱贫攻坚成果衔接乡村振兴的彩票公益金支出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2296012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用于法律援助的彩票公益金支出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2296013</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用于城乡医疗救助的彩票公益金支出</w:t>
            </w:r>
          </w:p>
        </w:tc>
        <w:tc>
          <w:tcPr>
            <w:tcW w:w="1012"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w:t>
            </w:r>
          </w:p>
        </w:tc>
        <w:tc>
          <w:tcPr>
            <w:tcW w:w="1291"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108</w:t>
            </w:r>
          </w:p>
        </w:tc>
        <w:tc>
          <w:tcPr>
            <w:tcW w:w="1681"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2296099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用于其他社会公益事业的彩票公益金支出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2299899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2320401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海南省高等级公路车辆通行附加费债务付息支出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2320405</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国家电影事业发展专项资金债务付息支出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2320411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国有土地使用权出让金债务付息支出</w:t>
            </w:r>
          </w:p>
        </w:tc>
        <w:tc>
          <w:tcPr>
            <w:tcW w:w="1012"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274</w:t>
            </w:r>
          </w:p>
        </w:tc>
        <w:tc>
          <w:tcPr>
            <w:tcW w:w="1291" w:type="dxa"/>
            <w:shd w:val="clear" w:color="auto" w:fill="FFFFFF"/>
            <w:noWrap/>
            <w:vAlign w:val="bottom"/>
          </w:tcPr>
          <w:p>
            <w:pPr>
              <w:jc w:val="center"/>
              <w:rPr>
                <w:rFonts w:hint="eastAsia" w:ascii="Times New Roman" w:hAnsi="Times New Roman" w:eastAsia="宋体" w:cs="Times New Roman"/>
                <w:i w:val="0"/>
                <w:iCs w:val="0"/>
                <w:color w:val="000000"/>
                <w:sz w:val="22"/>
                <w:szCs w:val="22"/>
                <w:u w:val="none"/>
                <w:lang w:val="en-US" w:eastAsia="zh-CN"/>
              </w:rPr>
            </w:pPr>
            <w:r>
              <w:rPr>
                <w:rFonts w:hint="eastAsia" w:cs="Times New Roman"/>
                <w:i w:val="0"/>
                <w:iCs w:val="0"/>
                <w:color w:val="000000"/>
                <w:sz w:val="22"/>
                <w:szCs w:val="22"/>
                <w:u w:val="none"/>
                <w:lang w:val="en-US" w:eastAsia="zh-CN"/>
              </w:rPr>
              <w:t>0</w:t>
            </w:r>
          </w:p>
        </w:tc>
        <w:tc>
          <w:tcPr>
            <w:tcW w:w="1681"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2320413</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农业土地开发资金债务付息支出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2320414</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大中型水库库区基金债务付息支出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2320416</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城市基础设施配套费债务付息支出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2320417</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小型水库移民扶助基金债务付息支出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2320418</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国家重大水利工程建设基金债务付息支出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2320419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车辆通行费债务付息支出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2320420</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污水处理费债务付息支出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2320431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土地储备专项债券付息支出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2320432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政府收费公路专项债券付息支出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2320433</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棚户区改造专项债券付息支出</w:t>
            </w:r>
          </w:p>
        </w:tc>
        <w:tc>
          <w:tcPr>
            <w:tcW w:w="1012"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425</w:t>
            </w:r>
          </w:p>
        </w:tc>
        <w:tc>
          <w:tcPr>
            <w:tcW w:w="1291"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448</w:t>
            </w:r>
          </w:p>
        </w:tc>
        <w:tc>
          <w:tcPr>
            <w:tcW w:w="1681"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2320498</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其他地方自行试点项目收益专项债券付息支出</w:t>
            </w:r>
          </w:p>
        </w:tc>
        <w:tc>
          <w:tcPr>
            <w:tcW w:w="1012"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4991</w:t>
            </w:r>
          </w:p>
        </w:tc>
        <w:tc>
          <w:tcPr>
            <w:tcW w:w="1291"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6138</w:t>
            </w:r>
          </w:p>
        </w:tc>
        <w:tc>
          <w:tcPr>
            <w:tcW w:w="1681"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2320499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其他政府性基金债务付息支出</w:t>
            </w:r>
          </w:p>
        </w:tc>
        <w:tc>
          <w:tcPr>
            <w:tcW w:w="1012" w:type="dxa"/>
            <w:shd w:val="clear" w:color="auto" w:fill="FFFFFF"/>
            <w:noWrap/>
            <w:vAlign w:val="bottom"/>
          </w:tcPr>
          <w:p>
            <w:pPr>
              <w:jc w:val="center"/>
              <w:rPr>
                <w:rFonts w:hint="eastAsia" w:ascii="Times New Roman" w:hAnsi="Times New Roman" w:eastAsia="宋体" w:cs="Times New Roman"/>
                <w:i w:val="0"/>
                <w:iCs w:val="0"/>
                <w:color w:val="000000"/>
                <w:sz w:val="22"/>
                <w:szCs w:val="22"/>
                <w:u w:val="none"/>
                <w:lang w:val="en-US" w:eastAsia="zh-CN"/>
              </w:rPr>
            </w:pPr>
            <w:r>
              <w:rPr>
                <w:rFonts w:hint="eastAsia" w:cs="Times New Roman"/>
                <w:i w:val="0"/>
                <w:iCs w:val="0"/>
                <w:color w:val="000000"/>
                <w:sz w:val="22"/>
                <w:szCs w:val="22"/>
                <w:u w:val="none"/>
                <w:lang w:val="en-US" w:eastAsia="zh-CN"/>
              </w:rPr>
              <w:t>0</w:t>
            </w:r>
          </w:p>
        </w:tc>
        <w:tc>
          <w:tcPr>
            <w:tcW w:w="1291"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2330401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海南省高等级公路车辆通行附加费债务发行费用支出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2330405</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国家电影事业发展专项资金债务发行费用支出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2330411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国有土地使用权出让金债务发行费用支出</w:t>
            </w:r>
          </w:p>
        </w:tc>
        <w:tc>
          <w:tcPr>
            <w:tcW w:w="1012"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1291" w:type="dxa"/>
            <w:shd w:val="clear" w:color="auto" w:fill="FFFFFF"/>
            <w:noWrap/>
            <w:vAlign w:val="bottom"/>
          </w:tcPr>
          <w:p>
            <w:pPr>
              <w:jc w:val="center"/>
              <w:rPr>
                <w:rFonts w:hint="eastAsia" w:ascii="Times New Roman" w:hAnsi="Times New Roman" w:eastAsia="宋体" w:cs="Times New Roman"/>
                <w:i w:val="0"/>
                <w:iCs w:val="0"/>
                <w:color w:val="000000"/>
                <w:sz w:val="22"/>
                <w:szCs w:val="22"/>
                <w:u w:val="none"/>
                <w:lang w:val="en-US" w:eastAsia="zh-CN"/>
              </w:rPr>
            </w:pPr>
            <w:r>
              <w:rPr>
                <w:rFonts w:hint="eastAsia" w:cs="Times New Roman"/>
                <w:i w:val="0"/>
                <w:iCs w:val="0"/>
                <w:color w:val="000000"/>
                <w:sz w:val="22"/>
                <w:szCs w:val="22"/>
                <w:u w:val="none"/>
                <w:lang w:val="en-US" w:eastAsia="zh-CN"/>
              </w:rPr>
              <w:t>0</w:t>
            </w: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2330413</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农业土地开发资金债务发行费用支出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2330414</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大中型水库库区基金债务发行费用支出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2330416</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城市基础设施配套费债务发行费用支出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2330417</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小型水库移民扶助基金债务发行费用支出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2330418</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国家重大水利工程建设基金债务发行费用支出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2330419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车辆通行费债务发行费用支出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2330420</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污水处理费债务发行费用支出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2330431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土地储备专项债券发行费用支出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2330432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政府收费公路专项债券发行费用支出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2330433</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棚户区改造专项债券发行费用支出</w:t>
            </w:r>
          </w:p>
        </w:tc>
        <w:tc>
          <w:tcPr>
            <w:tcW w:w="1012"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1291" w:type="dxa"/>
            <w:shd w:val="clear" w:color="auto" w:fill="FFFFFF"/>
            <w:noWrap/>
            <w:vAlign w:val="bottom"/>
          </w:tcPr>
          <w:p>
            <w:pPr>
              <w:jc w:val="center"/>
              <w:rPr>
                <w:rFonts w:hint="eastAsia" w:ascii="Times New Roman" w:hAnsi="Times New Roman" w:eastAsia="宋体" w:cs="Times New Roman"/>
                <w:i w:val="0"/>
                <w:iCs w:val="0"/>
                <w:color w:val="000000"/>
                <w:sz w:val="22"/>
                <w:szCs w:val="22"/>
                <w:u w:val="none"/>
                <w:lang w:val="en-US" w:eastAsia="zh-CN"/>
              </w:rPr>
            </w:pPr>
            <w:r>
              <w:rPr>
                <w:rFonts w:hint="eastAsia" w:cs="Times New Roman"/>
                <w:i w:val="0"/>
                <w:iCs w:val="0"/>
                <w:color w:val="000000"/>
                <w:sz w:val="22"/>
                <w:szCs w:val="22"/>
                <w:u w:val="none"/>
                <w:lang w:val="en-US" w:eastAsia="zh-CN"/>
              </w:rPr>
              <w:t>0</w:t>
            </w:r>
          </w:p>
        </w:tc>
        <w:tc>
          <w:tcPr>
            <w:tcW w:w="1681"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2330498</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其他地方自行试点项目收益专项债券发行费用支出</w:t>
            </w:r>
          </w:p>
        </w:tc>
        <w:tc>
          <w:tcPr>
            <w:tcW w:w="1012"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w:t>
            </w:r>
          </w:p>
        </w:tc>
        <w:tc>
          <w:tcPr>
            <w:tcW w:w="1291"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1681"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2330499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其他政府性基金债务发行费用支出</w:t>
            </w:r>
          </w:p>
        </w:tc>
        <w:tc>
          <w:tcPr>
            <w:tcW w:w="1012"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1291" w:type="dxa"/>
            <w:shd w:val="clear" w:color="auto" w:fill="FFFFFF"/>
            <w:noWrap/>
            <w:vAlign w:val="bottom"/>
          </w:tcPr>
          <w:p>
            <w:pPr>
              <w:jc w:val="center"/>
              <w:rPr>
                <w:rFonts w:hint="eastAsia" w:ascii="Times New Roman" w:hAnsi="Times New Roman" w:eastAsia="宋体" w:cs="Times New Roman"/>
                <w:i w:val="0"/>
                <w:iCs w:val="0"/>
                <w:color w:val="000000"/>
                <w:sz w:val="22"/>
                <w:szCs w:val="22"/>
                <w:u w:val="none"/>
                <w:lang w:val="en-US" w:eastAsia="zh-CN"/>
              </w:rPr>
            </w:pPr>
            <w:r>
              <w:rPr>
                <w:rFonts w:hint="eastAsia" w:cs="Times New Roman"/>
                <w:i w:val="0"/>
                <w:iCs w:val="0"/>
                <w:color w:val="000000"/>
                <w:sz w:val="22"/>
                <w:szCs w:val="22"/>
                <w:u w:val="none"/>
                <w:lang w:val="en-US" w:eastAsia="zh-CN"/>
              </w:rPr>
              <w:t>0</w:t>
            </w:r>
          </w:p>
        </w:tc>
        <w:tc>
          <w:tcPr>
            <w:tcW w:w="1681"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2340101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公共卫生体系建设</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2340102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重大疫情防控救治体系建设</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2340103</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粮食安全</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2340104</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能源安全</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2340105</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应急物资保障</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2340106</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产业链改造升级</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2340107</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城镇老旧小区改造</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2340108</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生态环境治理</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2340109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交通基础设施建设</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2340110</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市政设施建设</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2340111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重大区域规划基础设施建设</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2340199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其他基础设施建设</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2340201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减免房租补贴</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2340202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重点企业贷款贴息</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2340203</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创业担保贷款贴息</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2340204</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援企稳岗补贴</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2340205</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困难群众基本生活补助</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2340299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其他抗疫相关支出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23004</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政府性基金转移支付</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2300413</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其中：超长期特别国债转移支付支出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2300491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政府性基金预算省补助计划单列市支出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2300603</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政府性基金上解支出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230060399</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政府性基金预算计划单列市上解省支出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2300605</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抗疫特别国债还本上解支出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2300606</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超长期特别国债还本上解支出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2300802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政府性基金预算调出资金</w:t>
            </w:r>
          </w:p>
        </w:tc>
        <w:tc>
          <w:tcPr>
            <w:tcW w:w="1012"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610</w:t>
            </w:r>
          </w:p>
        </w:tc>
        <w:tc>
          <w:tcPr>
            <w:tcW w:w="1291"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38240</w:t>
            </w:r>
          </w:p>
        </w:tc>
        <w:tc>
          <w:tcPr>
            <w:tcW w:w="1681"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6168.8%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2300902</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政府性基金年终结余</w:t>
            </w:r>
          </w:p>
        </w:tc>
        <w:tc>
          <w:tcPr>
            <w:tcW w:w="1012"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21432</w:t>
            </w:r>
          </w:p>
        </w:tc>
        <w:tc>
          <w:tcPr>
            <w:tcW w:w="1291" w:type="dxa"/>
            <w:shd w:val="clear" w:color="auto" w:fill="FFFFFF"/>
            <w:noWrap/>
            <w:vAlign w:val="bottom"/>
          </w:tcPr>
          <w:p>
            <w:pPr>
              <w:jc w:val="center"/>
              <w:rPr>
                <w:rFonts w:hint="eastAsia" w:ascii="Times New Roman" w:hAnsi="Times New Roman" w:eastAsia="宋体" w:cs="Times New Roman"/>
                <w:i w:val="0"/>
                <w:iCs w:val="0"/>
                <w:color w:val="000000"/>
                <w:sz w:val="22"/>
                <w:szCs w:val="22"/>
                <w:u w:val="none"/>
                <w:lang w:val="en-US" w:eastAsia="zh-CN"/>
              </w:rPr>
            </w:pPr>
            <w:r>
              <w:rPr>
                <w:rFonts w:hint="eastAsia" w:cs="Times New Roman"/>
                <w:i w:val="0"/>
                <w:iCs w:val="0"/>
                <w:color w:val="000000"/>
                <w:sz w:val="22"/>
                <w:szCs w:val="22"/>
                <w:u w:val="none"/>
                <w:lang w:val="en-US" w:eastAsia="zh-CN"/>
              </w:rPr>
              <w:t>0</w:t>
            </w:r>
          </w:p>
        </w:tc>
        <w:tc>
          <w:tcPr>
            <w:tcW w:w="1681"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23011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债务转贷支出</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2302201</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安排超长期特别国债偿债备付金</w:t>
            </w:r>
          </w:p>
        </w:tc>
        <w:tc>
          <w:tcPr>
            <w:tcW w:w="1012"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291" w:type="dxa"/>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c>
          <w:tcPr>
            <w:tcW w:w="1681" w:type="dxa"/>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23104</w:t>
            </w:r>
          </w:p>
        </w:tc>
        <w:tc>
          <w:tcPr>
            <w:tcW w:w="5689" w:type="dxa"/>
            <w:shd w:val="clear" w:color="auto" w:fill="FFFFFF"/>
            <w:noWrap/>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地方政府专项债务还本支出</w:t>
            </w:r>
          </w:p>
        </w:tc>
        <w:tc>
          <w:tcPr>
            <w:tcW w:w="1012"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4800</w:t>
            </w:r>
          </w:p>
        </w:tc>
        <w:tc>
          <w:tcPr>
            <w:tcW w:w="1291" w:type="dxa"/>
            <w:shd w:val="clear" w:color="auto" w:fill="FFFFFF"/>
            <w:noWrap/>
            <w:vAlign w:val="bottom"/>
          </w:tcPr>
          <w:p>
            <w:pPr>
              <w:jc w:val="center"/>
              <w:rPr>
                <w:rFonts w:hint="eastAsia" w:ascii="Times New Roman" w:hAnsi="Times New Roman" w:eastAsia="宋体" w:cs="Times New Roman"/>
                <w:i w:val="0"/>
                <w:iCs w:val="0"/>
                <w:color w:val="000000"/>
                <w:sz w:val="22"/>
                <w:szCs w:val="22"/>
                <w:u w:val="none"/>
                <w:lang w:val="en-US" w:eastAsia="zh-CN"/>
              </w:rPr>
            </w:pPr>
            <w:r>
              <w:rPr>
                <w:rFonts w:hint="eastAsia" w:cs="Times New Roman"/>
                <w:i w:val="0"/>
                <w:iCs w:val="0"/>
                <w:color w:val="000000"/>
                <w:sz w:val="22"/>
                <w:szCs w:val="22"/>
                <w:u w:val="none"/>
                <w:lang w:val="en-US" w:eastAsia="zh-CN"/>
              </w:rPr>
              <w:t>0</w:t>
            </w:r>
          </w:p>
        </w:tc>
        <w:tc>
          <w:tcPr>
            <w:tcW w:w="1681"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shd w:val="clear" w:color="auto" w:fill="FFFFFF"/>
            <w:noWrap/>
            <w:vAlign w:val="bottom"/>
          </w:tcPr>
          <w:p>
            <w:pPr>
              <w:jc w:val="both"/>
              <w:rPr>
                <w:rFonts w:hint="default" w:ascii="Times New Roman" w:hAnsi="Times New Roman" w:eastAsia="宋体" w:cs="Times New Roman"/>
                <w:i w:val="0"/>
                <w:iCs w:val="0"/>
                <w:color w:val="000000"/>
                <w:sz w:val="24"/>
                <w:szCs w:val="24"/>
                <w:u w:val="none"/>
              </w:rPr>
            </w:pPr>
          </w:p>
        </w:tc>
        <w:tc>
          <w:tcPr>
            <w:tcW w:w="5689" w:type="dxa"/>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政府性基金支出合计</w:t>
            </w:r>
          </w:p>
        </w:tc>
        <w:tc>
          <w:tcPr>
            <w:tcW w:w="1012" w:type="dxa"/>
            <w:shd w:val="clear" w:color="auto" w:fill="FFFFFF"/>
            <w:noWrap/>
            <w:vAlign w:val="bottom"/>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54095</w:t>
            </w:r>
          </w:p>
        </w:tc>
        <w:tc>
          <w:tcPr>
            <w:tcW w:w="1291" w:type="dxa"/>
            <w:shd w:val="clear" w:color="auto" w:fill="FFFFFF"/>
            <w:noWrap/>
            <w:vAlign w:val="bottom"/>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71773</w:t>
            </w:r>
          </w:p>
        </w:tc>
        <w:tc>
          <w:tcPr>
            <w:tcW w:w="1681" w:type="dxa"/>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32.7%</w:t>
            </w:r>
          </w:p>
        </w:tc>
      </w:tr>
    </w:tbl>
    <w:p>
      <w:pPr>
        <w:pStyle w:val="7"/>
        <w:rPr>
          <w:rFonts w:hint="default" w:ascii="Times New Roman" w:hAnsi="Times New Roman" w:cs="Times New Roman"/>
          <w:b w:val="0"/>
          <w:bCs w:val="0"/>
          <w:sz w:val="22"/>
          <w:szCs w:val="22"/>
          <w:highlight w:val="none"/>
          <w:lang w:val="en-US" w:eastAsia="zh-Hans"/>
        </w:rPr>
      </w:pPr>
    </w:p>
    <w:p>
      <w:pPr>
        <w:pStyle w:val="7"/>
        <w:rPr>
          <w:rFonts w:hint="default" w:ascii="Times New Roman" w:hAnsi="Times New Roman" w:cs="Times New Roman"/>
          <w:b w:val="0"/>
          <w:bCs w:val="0"/>
          <w:sz w:val="22"/>
          <w:szCs w:val="22"/>
          <w:highlight w:val="none"/>
          <w:lang w:val="en-US" w:eastAsia="zh-Hans"/>
        </w:rPr>
      </w:pPr>
    </w:p>
    <w:p>
      <w:pPr>
        <w:pStyle w:val="7"/>
        <w:rPr>
          <w:rFonts w:hint="default" w:ascii="Times New Roman" w:hAnsi="Times New Roman" w:cs="Times New Roman"/>
          <w:b w:val="0"/>
          <w:bCs w:val="0"/>
          <w:sz w:val="22"/>
          <w:szCs w:val="22"/>
          <w:highlight w:val="none"/>
          <w:lang w:val="en-US" w:eastAsia="zh-Hans"/>
        </w:rPr>
      </w:pPr>
    </w:p>
    <w:tbl>
      <w:tblPr>
        <w:tblStyle w:val="8"/>
        <w:tblW w:w="941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620"/>
        <w:gridCol w:w="1550"/>
        <w:gridCol w:w="1440"/>
        <w:gridCol w:w="1170"/>
        <w:gridCol w:w="1290"/>
        <w:gridCol w:w="13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jc w:val="center"/>
        </w:trPr>
        <w:tc>
          <w:tcPr>
            <w:tcW w:w="2620" w:type="dxa"/>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表13</w:t>
            </w:r>
          </w:p>
        </w:tc>
        <w:tc>
          <w:tcPr>
            <w:tcW w:w="1550" w:type="dxa"/>
            <w:noWrap w:val="0"/>
            <w:vAlign w:val="center"/>
          </w:tcPr>
          <w:p>
            <w:pPr>
              <w:rPr>
                <w:rFonts w:hint="default" w:ascii="Times New Roman" w:hAnsi="Times New Roman" w:eastAsia="宋体" w:cs="Times New Roman"/>
                <w:i w:val="0"/>
                <w:color w:val="000000"/>
                <w:sz w:val="24"/>
                <w:szCs w:val="24"/>
                <w:u w:val="none"/>
              </w:rPr>
            </w:pPr>
          </w:p>
        </w:tc>
        <w:tc>
          <w:tcPr>
            <w:tcW w:w="1440" w:type="dxa"/>
            <w:noWrap w:val="0"/>
            <w:vAlign w:val="center"/>
          </w:tcPr>
          <w:p>
            <w:pPr>
              <w:rPr>
                <w:rFonts w:hint="default" w:ascii="Times New Roman" w:hAnsi="Times New Roman" w:eastAsia="宋体" w:cs="Times New Roman"/>
                <w:i w:val="0"/>
                <w:color w:val="000000"/>
                <w:sz w:val="24"/>
                <w:szCs w:val="24"/>
                <w:u w:val="none"/>
              </w:rPr>
            </w:pPr>
          </w:p>
        </w:tc>
        <w:tc>
          <w:tcPr>
            <w:tcW w:w="1170" w:type="dxa"/>
            <w:noWrap w:val="0"/>
            <w:vAlign w:val="center"/>
          </w:tcPr>
          <w:p>
            <w:pPr>
              <w:rPr>
                <w:rFonts w:hint="default" w:ascii="Times New Roman" w:hAnsi="Times New Roman" w:eastAsia="宋体" w:cs="Times New Roman"/>
                <w:i w:val="0"/>
                <w:color w:val="000000"/>
                <w:sz w:val="24"/>
                <w:szCs w:val="24"/>
                <w:u w:val="none"/>
              </w:rPr>
            </w:pPr>
          </w:p>
        </w:tc>
        <w:tc>
          <w:tcPr>
            <w:tcW w:w="1290" w:type="dxa"/>
            <w:noWrap w:val="0"/>
            <w:vAlign w:val="center"/>
          </w:tcPr>
          <w:p>
            <w:pPr>
              <w:rPr>
                <w:rFonts w:hint="default" w:ascii="Times New Roman" w:hAnsi="Times New Roman" w:eastAsia="宋体" w:cs="Times New Roman"/>
                <w:i w:val="0"/>
                <w:color w:val="000000"/>
                <w:sz w:val="24"/>
                <w:szCs w:val="24"/>
                <w:u w:val="none"/>
              </w:rPr>
            </w:pPr>
          </w:p>
        </w:tc>
        <w:tc>
          <w:tcPr>
            <w:tcW w:w="1348" w:type="dxa"/>
            <w:noWrap w:val="0"/>
            <w:vAlign w:val="center"/>
          </w:tcPr>
          <w:p>
            <w:pPr>
              <w:rPr>
                <w:rFonts w:hint="default" w:ascii="Times New Roman" w:hAnsi="Times New Roman" w:eastAsia="宋体" w:cs="Times New Roman"/>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9418" w:type="dxa"/>
            <w:gridSpan w:val="6"/>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eastAsia="zh-CN" w:bidi="ar"/>
              </w:rPr>
            </w:pPr>
            <w:r>
              <w:rPr>
                <w:rFonts w:hint="default" w:ascii="Times New Roman" w:hAnsi="Times New Roman" w:cs="Times New Roman"/>
                <w:b/>
                <w:bCs/>
                <w:i w:val="0"/>
                <w:color w:val="000000"/>
                <w:kern w:val="0"/>
                <w:sz w:val="20"/>
                <w:szCs w:val="20"/>
                <w:u w:val="none"/>
                <w:lang w:eastAsia="zh-CN" w:bidi="ar"/>
              </w:rPr>
              <w:t>202</w:t>
            </w:r>
            <w:r>
              <w:rPr>
                <w:rFonts w:hint="default" w:ascii="Times New Roman" w:hAnsi="Times New Roman" w:cs="Times New Roman"/>
                <w:b/>
                <w:bCs/>
                <w:i w:val="0"/>
                <w:color w:val="000000"/>
                <w:kern w:val="0"/>
                <w:sz w:val="20"/>
                <w:szCs w:val="20"/>
                <w:u w:val="none"/>
                <w:lang w:val="en-US" w:eastAsia="zh-CN" w:bidi="ar"/>
              </w:rPr>
              <w:t>5</w:t>
            </w:r>
            <w:r>
              <w:rPr>
                <w:rFonts w:hint="default" w:ascii="Times New Roman" w:hAnsi="Times New Roman" w:cs="Times New Roman"/>
                <w:b/>
                <w:bCs/>
                <w:i w:val="0"/>
                <w:color w:val="000000"/>
                <w:kern w:val="0"/>
                <w:sz w:val="20"/>
                <w:szCs w:val="20"/>
                <w:u w:val="none"/>
                <w:lang w:val="en-US" w:eastAsia="zh-Hans" w:bidi="ar"/>
              </w:rPr>
              <w:t>年</w:t>
            </w:r>
            <w:r>
              <w:rPr>
                <w:rFonts w:hint="default" w:ascii="Times New Roman" w:hAnsi="Times New Roman" w:cs="Times New Roman"/>
                <w:b/>
                <w:bCs/>
                <w:i w:val="0"/>
                <w:color w:val="000000"/>
                <w:kern w:val="0"/>
                <w:sz w:val="20"/>
                <w:szCs w:val="20"/>
                <w:u w:val="none"/>
                <w:lang w:eastAsia="zh-CN" w:bidi="ar"/>
              </w:rPr>
              <w:t>喀什地区泽普县</w:t>
            </w:r>
            <w:r>
              <w:rPr>
                <w:rFonts w:hint="default" w:ascii="Times New Roman" w:hAnsi="Times New Roman" w:cs="Times New Roman"/>
                <w:b/>
                <w:bCs/>
                <w:i w:val="0"/>
                <w:color w:val="000000"/>
                <w:kern w:val="0"/>
                <w:sz w:val="20"/>
                <w:szCs w:val="20"/>
                <w:u w:val="none"/>
                <w:lang w:val="en-US" w:eastAsia="zh-CN" w:bidi="ar"/>
              </w:rPr>
              <w:t>政府性基金预算</w:t>
            </w:r>
            <w:r>
              <w:rPr>
                <w:rFonts w:hint="default" w:ascii="Times New Roman" w:hAnsi="Times New Roman" w:cs="Times New Roman"/>
                <w:b/>
                <w:bCs/>
                <w:i w:val="0"/>
                <w:color w:val="000000"/>
                <w:kern w:val="0"/>
                <w:sz w:val="20"/>
                <w:szCs w:val="20"/>
                <w:u w:val="none"/>
                <w:lang w:val="en-US" w:eastAsia="zh-Hans" w:bidi="ar"/>
              </w:rPr>
              <w:t>对下转移支付安排情况</w:t>
            </w:r>
            <w:r>
              <w:rPr>
                <w:rFonts w:hint="default" w:ascii="Times New Roman" w:hAnsi="Times New Roman" w:cs="Times New Roman"/>
                <w:b/>
                <w:bCs/>
                <w:i w:val="0"/>
                <w:color w:val="000000"/>
                <w:kern w:val="0"/>
                <w:sz w:val="20"/>
                <w:szCs w:val="20"/>
                <w:u w:val="none"/>
                <w:lang w:val="en-US" w:eastAsia="zh-CN" w:bidi="ar"/>
              </w:rPr>
              <w:t>表</w:t>
            </w:r>
            <w:r>
              <w:rPr>
                <w:rFonts w:hint="default" w:ascii="Times New Roman" w:hAnsi="Times New Roman" w:cs="Times New Roman"/>
                <w:b/>
                <w:bCs/>
                <w:i w:val="0"/>
                <w:color w:val="000000"/>
                <w:kern w:val="0"/>
                <w:sz w:val="20"/>
                <w:szCs w:val="20"/>
                <w:u w:val="none"/>
                <w:lang w:val="en-US" w:eastAsia="zh-Hans" w:bidi="ar"/>
              </w:rPr>
              <w:t>（</w:t>
            </w:r>
            <w:r>
              <w:rPr>
                <w:rFonts w:hint="default" w:ascii="Times New Roman" w:hAnsi="Times New Roman" w:eastAsia="宋体" w:cs="Times New Roman"/>
                <w:b/>
                <w:bCs/>
                <w:i w:val="0"/>
                <w:color w:val="000000"/>
                <w:kern w:val="0"/>
                <w:sz w:val="20"/>
                <w:szCs w:val="20"/>
                <w:u w:val="none"/>
                <w:lang w:val="en-US" w:eastAsia="zh-CN" w:bidi="ar"/>
              </w:rPr>
              <w:t>分地区、项目</w:t>
            </w:r>
            <w:r>
              <w:rPr>
                <w:rFonts w:hint="default" w:ascii="Times New Roman" w:hAnsi="Times New Roman" w:cs="Times New Roman"/>
                <w:b/>
                <w:bCs/>
                <w:i w:val="0"/>
                <w:color w:val="000000"/>
                <w:kern w:val="0"/>
                <w:sz w:val="20"/>
                <w:szCs w:val="20"/>
                <w:u w:val="none"/>
                <w:lang w:val="en-US" w:eastAsia="zh-Hans"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2620" w:type="dxa"/>
            <w:noWrap w:val="0"/>
            <w:vAlign w:val="center"/>
          </w:tcPr>
          <w:p>
            <w:pPr>
              <w:jc w:val="center"/>
              <w:rPr>
                <w:rFonts w:hint="default" w:ascii="Times New Roman" w:hAnsi="Times New Roman" w:eastAsia="宋体" w:cs="Times New Roman"/>
                <w:i w:val="0"/>
                <w:color w:val="000000"/>
                <w:sz w:val="20"/>
                <w:szCs w:val="20"/>
                <w:u w:val="none"/>
              </w:rPr>
            </w:pPr>
          </w:p>
        </w:tc>
        <w:tc>
          <w:tcPr>
            <w:tcW w:w="1550" w:type="dxa"/>
            <w:noWrap w:val="0"/>
            <w:vAlign w:val="center"/>
          </w:tcPr>
          <w:p>
            <w:pPr>
              <w:jc w:val="center"/>
              <w:rPr>
                <w:rFonts w:hint="default" w:ascii="Times New Roman" w:hAnsi="Times New Roman" w:eastAsia="宋体" w:cs="Times New Roman"/>
                <w:i w:val="0"/>
                <w:color w:val="000000"/>
                <w:sz w:val="20"/>
                <w:szCs w:val="20"/>
                <w:u w:val="none"/>
              </w:rPr>
            </w:pPr>
          </w:p>
        </w:tc>
        <w:tc>
          <w:tcPr>
            <w:tcW w:w="1440" w:type="dxa"/>
            <w:noWrap w:val="0"/>
            <w:vAlign w:val="center"/>
          </w:tcPr>
          <w:p>
            <w:pPr>
              <w:jc w:val="center"/>
              <w:rPr>
                <w:rFonts w:hint="default" w:ascii="Times New Roman" w:hAnsi="Times New Roman" w:eastAsia="宋体" w:cs="Times New Roman"/>
                <w:i w:val="0"/>
                <w:color w:val="000000"/>
                <w:sz w:val="20"/>
                <w:szCs w:val="20"/>
                <w:u w:val="none"/>
              </w:rPr>
            </w:pPr>
          </w:p>
        </w:tc>
        <w:tc>
          <w:tcPr>
            <w:tcW w:w="1170" w:type="dxa"/>
            <w:noWrap w:val="0"/>
            <w:vAlign w:val="center"/>
          </w:tcPr>
          <w:p>
            <w:pPr>
              <w:jc w:val="center"/>
              <w:rPr>
                <w:rFonts w:hint="default" w:ascii="Times New Roman" w:hAnsi="Times New Roman" w:eastAsia="宋体" w:cs="Times New Roman"/>
                <w:i w:val="0"/>
                <w:color w:val="000000"/>
                <w:sz w:val="20"/>
                <w:szCs w:val="20"/>
                <w:u w:val="none"/>
              </w:rPr>
            </w:pPr>
          </w:p>
        </w:tc>
        <w:tc>
          <w:tcPr>
            <w:tcW w:w="1290" w:type="dxa"/>
            <w:noWrap w:val="0"/>
            <w:vAlign w:val="center"/>
          </w:tcPr>
          <w:p>
            <w:pPr>
              <w:jc w:val="center"/>
              <w:rPr>
                <w:rFonts w:hint="default" w:ascii="Times New Roman" w:hAnsi="Times New Roman" w:eastAsia="宋体" w:cs="Times New Roman"/>
                <w:i w:val="0"/>
                <w:color w:val="000000"/>
                <w:sz w:val="20"/>
                <w:szCs w:val="20"/>
                <w:u w:val="none"/>
              </w:rPr>
            </w:pPr>
          </w:p>
        </w:tc>
        <w:tc>
          <w:tcPr>
            <w:tcW w:w="1348"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单位：万元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26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项目名称</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合计</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cs="Times New Roman"/>
                <w:b/>
                <w:bCs/>
                <w:i w:val="0"/>
                <w:color w:val="000000"/>
                <w:kern w:val="0"/>
                <w:sz w:val="20"/>
                <w:szCs w:val="20"/>
                <w:u w:val="none"/>
                <w:lang w:val="en-US" w:eastAsia="zh-CN" w:bidi="ar"/>
              </w:rPr>
              <w:t>泽普县</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县、市名称</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县、市名称</w:t>
            </w:r>
          </w:p>
        </w:tc>
        <w:tc>
          <w:tcPr>
            <w:tcW w:w="13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5" w:hRule="atLeast"/>
          <w:jc w:val="center"/>
        </w:trPr>
        <w:tc>
          <w:tcPr>
            <w:tcW w:w="26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政府性基金转移支付</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u w:val="none"/>
                <w:lang w:val="en-US" w:eastAsia="zh-CN"/>
              </w:rPr>
            </w:pP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u w:val="none"/>
                <w:lang w:val="en-US" w:eastAsia="zh-CN"/>
              </w:rPr>
            </w:pPr>
          </w:p>
        </w:tc>
        <w:tc>
          <w:tcPr>
            <w:tcW w:w="1348"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32" w:hRule="atLeast"/>
          <w:jc w:val="center"/>
        </w:trPr>
        <w:tc>
          <w:tcPr>
            <w:tcW w:w="26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lang w:eastAsia="zh-CN"/>
              </w:rPr>
            </w:pPr>
            <w:r>
              <w:rPr>
                <w:rFonts w:hint="default" w:ascii="Times New Roman" w:hAnsi="Times New Roman" w:cs="Times New Roman"/>
                <w:b/>
                <w:bCs/>
                <w:i w:val="0"/>
                <w:color w:val="000000"/>
                <w:sz w:val="20"/>
                <w:szCs w:val="20"/>
                <w:u w:val="none"/>
                <w:lang w:eastAsia="zh-CN"/>
              </w:rPr>
              <w:t>合计</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0</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u w:val="none"/>
                <w:lang w:val="en-US" w:eastAsia="zh-CN"/>
              </w:rPr>
            </w:pP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u w:val="none"/>
              </w:rPr>
            </w:pPr>
          </w:p>
        </w:tc>
        <w:tc>
          <w:tcPr>
            <w:tcW w:w="1348"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u w:val="none"/>
              </w:rPr>
            </w:pPr>
          </w:p>
        </w:tc>
      </w:tr>
    </w:tbl>
    <w:p>
      <w:pPr>
        <w:pStyle w:val="7"/>
        <w:rPr>
          <w:rFonts w:hint="default" w:ascii="Times New Roman" w:hAnsi="Times New Roman" w:eastAsia="仿宋_GB2312" w:cs="Times New Roman"/>
          <w:b/>
          <w:bCs/>
          <w:i w:val="0"/>
          <w:color w:val="000000"/>
          <w:kern w:val="0"/>
          <w:sz w:val="22"/>
          <w:szCs w:val="22"/>
          <w:u w:val="none"/>
          <w:lang w:val="en-US" w:eastAsia="zh-CN" w:bidi="ar"/>
        </w:rPr>
      </w:pPr>
      <w:r>
        <w:rPr>
          <w:rFonts w:hint="eastAsia" w:ascii="Times New Roman" w:hAnsi="Times New Roman" w:eastAsia="仿宋_GB2312" w:cs="Times New Roman"/>
          <w:b/>
          <w:bCs/>
          <w:i w:val="0"/>
          <w:color w:val="000000"/>
          <w:kern w:val="0"/>
          <w:sz w:val="22"/>
          <w:szCs w:val="22"/>
          <w:u w:val="none"/>
          <w:lang w:val="en-US" w:eastAsia="zh-CN" w:bidi="ar"/>
        </w:rPr>
        <w:t>备注：</w:t>
      </w:r>
      <w:r>
        <w:rPr>
          <w:rFonts w:hint="default" w:ascii="Times New Roman" w:hAnsi="Times New Roman" w:eastAsia="仿宋_GB2312" w:cs="Times New Roman"/>
          <w:b/>
          <w:bCs/>
          <w:i w:val="0"/>
          <w:color w:val="000000"/>
          <w:kern w:val="0"/>
          <w:sz w:val="22"/>
          <w:szCs w:val="22"/>
          <w:u w:val="none"/>
          <w:lang w:val="en-US" w:eastAsia="zh-CN" w:bidi="ar"/>
        </w:rPr>
        <w:t>2025</w:t>
      </w:r>
      <w:r>
        <w:rPr>
          <w:rFonts w:hint="default" w:ascii="Times New Roman" w:hAnsi="Times New Roman" w:eastAsia="仿宋_GB2312" w:cs="Times New Roman"/>
          <w:b/>
          <w:bCs/>
          <w:i w:val="0"/>
          <w:color w:val="000000"/>
          <w:kern w:val="0"/>
          <w:sz w:val="22"/>
          <w:szCs w:val="22"/>
          <w:u w:val="none"/>
          <w:lang w:val="en-US" w:eastAsia="zh-Hans" w:bidi="ar"/>
        </w:rPr>
        <w:t>年</w:t>
      </w:r>
      <w:r>
        <w:rPr>
          <w:rFonts w:hint="default" w:ascii="Times New Roman" w:hAnsi="Times New Roman" w:eastAsia="仿宋_GB2312" w:cs="Times New Roman"/>
          <w:b/>
          <w:bCs/>
          <w:i w:val="0"/>
          <w:color w:val="000000"/>
          <w:kern w:val="0"/>
          <w:sz w:val="22"/>
          <w:szCs w:val="22"/>
          <w:u w:val="none"/>
          <w:lang w:val="en-US" w:eastAsia="zh-CN" w:bidi="ar"/>
        </w:rPr>
        <w:t>喀什地区泽普县</w:t>
      </w:r>
      <w:r>
        <w:rPr>
          <w:rFonts w:hint="eastAsia" w:eastAsia="仿宋_GB2312" w:cs="Times New Roman"/>
          <w:b/>
          <w:bCs/>
          <w:i w:val="0"/>
          <w:color w:val="000000"/>
          <w:kern w:val="0"/>
          <w:sz w:val="22"/>
          <w:szCs w:val="22"/>
          <w:u w:val="none"/>
          <w:lang w:val="en-US" w:eastAsia="zh-CN" w:bidi="ar"/>
        </w:rPr>
        <w:t>无</w:t>
      </w:r>
      <w:r>
        <w:rPr>
          <w:rFonts w:hint="default" w:ascii="Times New Roman" w:hAnsi="Times New Roman" w:eastAsia="仿宋_GB2312" w:cs="Times New Roman"/>
          <w:b/>
          <w:bCs/>
          <w:i w:val="0"/>
          <w:color w:val="000000"/>
          <w:kern w:val="0"/>
          <w:sz w:val="22"/>
          <w:szCs w:val="22"/>
          <w:u w:val="none"/>
          <w:lang w:val="en-US" w:eastAsia="zh-CN" w:bidi="ar"/>
        </w:rPr>
        <w:t>政府性基金预算</w:t>
      </w:r>
      <w:r>
        <w:rPr>
          <w:rFonts w:hint="default" w:ascii="Times New Roman" w:hAnsi="Times New Roman" w:eastAsia="仿宋_GB2312" w:cs="Times New Roman"/>
          <w:b/>
          <w:bCs/>
          <w:i w:val="0"/>
          <w:color w:val="000000"/>
          <w:kern w:val="0"/>
          <w:sz w:val="22"/>
          <w:szCs w:val="22"/>
          <w:u w:val="none"/>
          <w:lang w:val="en-US" w:eastAsia="zh-Hans" w:bidi="ar"/>
        </w:rPr>
        <w:t>对下转移支付安排</w:t>
      </w:r>
    </w:p>
    <w:p>
      <w:pPr>
        <w:pStyle w:val="7"/>
        <w:rPr>
          <w:rFonts w:hint="default" w:ascii="Times New Roman" w:hAnsi="Times New Roman" w:eastAsia="楷体_GB2312" w:cs="Times New Roman"/>
          <w:b/>
          <w:bCs w:val="0"/>
          <w:kern w:val="0"/>
          <w:sz w:val="32"/>
          <w:szCs w:val="32"/>
          <w:highlight w:val="none"/>
          <w:lang w:val="en-US" w:eastAsia="zh-CN"/>
        </w:rPr>
      </w:pPr>
    </w:p>
    <w:p>
      <w:pPr>
        <w:pStyle w:val="7"/>
        <w:rPr>
          <w:rFonts w:hint="default" w:ascii="Times New Roman" w:hAnsi="Times New Roman" w:eastAsia="楷体_GB2312" w:cs="Times New Roman"/>
          <w:b/>
          <w:bCs w:val="0"/>
          <w:kern w:val="0"/>
          <w:sz w:val="32"/>
          <w:szCs w:val="32"/>
          <w:highlight w:val="none"/>
          <w:lang w:val="en-US" w:eastAsia="zh-CN"/>
        </w:rPr>
      </w:pPr>
    </w:p>
    <w:p>
      <w:pPr>
        <w:pStyle w:val="7"/>
        <w:rPr>
          <w:rFonts w:hint="default" w:ascii="Times New Roman" w:hAnsi="Times New Roman" w:eastAsia="楷体_GB2312" w:cs="Times New Roman"/>
          <w:b/>
          <w:bCs w:val="0"/>
          <w:kern w:val="0"/>
          <w:sz w:val="32"/>
          <w:szCs w:val="32"/>
          <w:highlight w:val="none"/>
          <w:lang w:val="en-US" w:eastAsia="zh-CN"/>
        </w:rPr>
      </w:pPr>
    </w:p>
    <w:p>
      <w:pPr>
        <w:pStyle w:val="7"/>
        <w:rPr>
          <w:rFonts w:hint="default" w:ascii="Times New Roman" w:hAnsi="Times New Roman" w:eastAsia="楷体_GB2312" w:cs="Times New Roman"/>
          <w:b/>
          <w:bCs w:val="0"/>
          <w:kern w:val="0"/>
          <w:sz w:val="32"/>
          <w:szCs w:val="32"/>
          <w:highlight w:val="none"/>
          <w:lang w:val="en-US" w:eastAsia="zh-CN"/>
        </w:rPr>
      </w:pPr>
    </w:p>
    <w:p>
      <w:pPr>
        <w:pStyle w:val="7"/>
        <w:rPr>
          <w:rFonts w:hint="default" w:ascii="Times New Roman" w:hAnsi="Times New Roman" w:eastAsia="楷体_GB2312" w:cs="Times New Roman"/>
          <w:b/>
          <w:bCs w:val="0"/>
          <w:kern w:val="0"/>
          <w:sz w:val="32"/>
          <w:szCs w:val="32"/>
          <w:highlight w:val="none"/>
          <w:lang w:val="en-US" w:eastAsia="zh-CN"/>
        </w:rPr>
      </w:pPr>
    </w:p>
    <w:p>
      <w:pPr>
        <w:pStyle w:val="7"/>
        <w:rPr>
          <w:rFonts w:hint="default" w:ascii="Times New Roman" w:hAnsi="Times New Roman" w:eastAsia="楷体_GB2312" w:cs="Times New Roman"/>
          <w:b/>
          <w:bCs w:val="0"/>
          <w:kern w:val="0"/>
          <w:sz w:val="32"/>
          <w:szCs w:val="32"/>
          <w:highlight w:val="none"/>
          <w:lang w:val="en-US" w:eastAsia="zh-CN"/>
        </w:rPr>
      </w:pPr>
    </w:p>
    <w:p>
      <w:pPr>
        <w:pStyle w:val="7"/>
        <w:rPr>
          <w:rFonts w:hint="default" w:ascii="Times New Roman" w:hAnsi="Times New Roman" w:eastAsia="楷体_GB2312" w:cs="Times New Roman"/>
          <w:b/>
          <w:bCs w:val="0"/>
          <w:kern w:val="0"/>
          <w:sz w:val="32"/>
          <w:szCs w:val="32"/>
          <w:highlight w:val="none"/>
          <w:lang w:val="en-US" w:eastAsia="zh-CN"/>
        </w:rPr>
      </w:pPr>
    </w:p>
    <w:p>
      <w:pPr>
        <w:pStyle w:val="7"/>
        <w:rPr>
          <w:rFonts w:hint="default" w:ascii="Times New Roman" w:hAnsi="Times New Roman" w:eastAsia="楷体_GB2312" w:cs="Times New Roman"/>
          <w:b/>
          <w:bCs w:val="0"/>
          <w:kern w:val="0"/>
          <w:sz w:val="32"/>
          <w:szCs w:val="32"/>
          <w:highlight w:val="none"/>
          <w:lang w:val="en-US" w:eastAsia="zh-CN"/>
        </w:rPr>
      </w:pPr>
    </w:p>
    <w:tbl>
      <w:tblPr>
        <w:tblStyle w:val="8"/>
        <w:tblpPr w:leftFromText="180" w:rightFromText="180" w:vertAnchor="text" w:horzAnchor="page" w:tblpX="1080" w:tblpY="971"/>
        <w:tblOverlap w:val="never"/>
        <w:tblW w:w="10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161"/>
        <w:gridCol w:w="538"/>
        <w:gridCol w:w="583"/>
        <w:gridCol w:w="519"/>
        <w:gridCol w:w="575"/>
        <w:gridCol w:w="777"/>
        <w:gridCol w:w="828"/>
        <w:gridCol w:w="1395"/>
        <w:gridCol w:w="532"/>
        <w:gridCol w:w="654"/>
        <w:gridCol w:w="491"/>
        <w:gridCol w:w="696"/>
        <w:gridCol w:w="763"/>
        <w:gridCol w:w="6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1161" w:type="dxa"/>
            <w:noWrap w:val="0"/>
            <w:vAlign w:val="bottom"/>
          </w:tcPr>
          <w:p>
            <w:pPr>
              <w:keepNext w:val="0"/>
              <w:keepLines w:val="0"/>
              <w:widowControl/>
              <w:suppressLineNumbers w:val="0"/>
              <w:jc w:val="left"/>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表</w:t>
            </w:r>
            <w:r>
              <w:rPr>
                <w:rFonts w:hint="default" w:ascii="Times New Roman" w:hAnsi="Times New Roman" w:cs="Times New Roman"/>
                <w:i w:val="0"/>
                <w:color w:val="000000"/>
                <w:kern w:val="0"/>
                <w:sz w:val="20"/>
                <w:szCs w:val="20"/>
                <w:u w:val="none"/>
                <w:lang w:eastAsia="zh-CN" w:bidi="ar"/>
              </w:rPr>
              <w:t>14</w:t>
            </w:r>
          </w:p>
        </w:tc>
        <w:tc>
          <w:tcPr>
            <w:tcW w:w="538" w:type="dxa"/>
            <w:noWrap w:val="0"/>
            <w:vAlign w:val="bottom"/>
          </w:tcPr>
          <w:p>
            <w:pPr>
              <w:rPr>
                <w:rFonts w:hint="default" w:ascii="Times New Roman" w:hAnsi="Times New Roman" w:cs="Times New Roman"/>
                <w:i w:val="0"/>
                <w:color w:val="000000"/>
                <w:sz w:val="20"/>
                <w:szCs w:val="20"/>
                <w:u w:val="none"/>
              </w:rPr>
            </w:pPr>
          </w:p>
        </w:tc>
        <w:tc>
          <w:tcPr>
            <w:tcW w:w="583" w:type="dxa"/>
            <w:noWrap w:val="0"/>
            <w:vAlign w:val="bottom"/>
          </w:tcPr>
          <w:p>
            <w:pPr>
              <w:rPr>
                <w:rFonts w:hint="default" w:ascii="Times New Roman" w:hAnsi="Times New Roman" w:cs="Times New Roman"/>
                <w:i w:val="0"/>
                <w:color w:val="000000"/>
                <w:sz w:val="20"/>
                <w:szCs w:val="20"/>
                <w:u w:val="none"/>
              </w:rPr>
            </w:pPr>
          </w:p>
        </w:tc>
        <w:tc>
          <w:tcPr>
            <w:tcW w:w="519" w:type="dxa"/>
            <w:noWrap w:val="0"/>
            <w:vAlign w:val="bottom"/>
          </w:tcPr>
          <w:p>
            <w:pPr>
              <w:rPr>
                <w:rFonts w:hint="default" w:ascii="Times New Roman" w:hAnsi="Times New Roman" w:cs="Times New Roman"/>
                <w:i w:val="0"/>
                <w:color w:val="000000"/>
                <w:sz w:val="20"/>
                <w:szCs w:val="20"/>
                <w:u w:val="none"/>
              </w:rPr>
            </w:pPr>
          </w:p>
        </w:tc>
        <w:tc>
          <w:tcPr>
            <w:tcW w:w="575" w:type="dxa"/>
            <w:noWrap w:val="0"/>
            <w:vAlign w:val="bottom"/>
          </w:tcPr>
          <w:p>
            <w:pPr>
              <w:rPr>
                <w:rFonts w:hint="default" w:ascii="Times New Roman" w:hAnsi="Times New Roman" w:cs="Times New Roman"/>
                <w:i w:val="0"/>
                <w:color w:val="000000"/>
                <w:sz w:val="20"/>
                <w:szCs w:val="20"/>
                <w:u w:val="none"/>
              </w:rPr>
            </w:pPr>
          </w:p>
        </w:tc>
        <w:tc>
          <w:tcPr>
            <w:tcW w:w="777" w:type="dxa"/>
            <w:noWrap w:val="0"/>
            <w:vAlign w:val="bottom"/>
          </w:tcPr>
          <w:p>
            <w:pPr>
              <w:rPr>
                <w:rFonts w:hint="default" w:ascii="Times New Roman" w:hAnsi="Times New Roman" w:cs="Times New Roman"/>
                <w:i w:val="0"/>
                <w:color w:val="000000"/>
                <w:sz w:val="20"/>
                <w:szCs w:val="20"/>
                <w:u w:val="none"/>
              </w:rPr>
            </w:pPr>
          </w:p>
        </w:tc>
        <w:tc>
          <w:tcPr>
            <w:tcW w:w="828" w:type="dxa"/>
            <w:noWrap w:val="0"/>
            <w:vAlign w:val="bottom"/>
          </w:tcPr>
          <w:p>
            <w:pPr>
              <w:rPr>
                <w:rFonts w:hint="default" w:ascii="Times New Roman" w:hAnsi="Times New Roman" w:cs="Times New Roman"/>
                <w:i w:val="0"/>
                <w:color w:val="000000"/>
                <w:sz w:val="20"/>
                <w:szCs w:val="20"/>
                <w:u w:val="none"/>
              </w:rPr>
            </w:pPr>
          </w:p>
        </w:tc>
        <w:tc>
          <w:tcPr>
            <w:tcW w:w="1395" w:type="dxa"/>
            <w:noWrap w:val="0"/>
            <w:vAlign w:val="bottom"/>
          </w:tcPr>
          <w:p>
            <w:pPr>
              <w:rPr>
                <w:rFonts w:hint="default" w:ascii="Times New Roman" w:hAnsi="Times New Roman" w:cs="Times New Roman"/>
                <w:i w:val="0"/>
                <w:color w:val="000000"/>
                <w:sz w:val="20"/>
                <w:szCs w:val="20"/>
                <w:u w:val="none"/>
              </w:rPr>
            </w:pPr>
          </w:p>
        </w:tc>
        <w:tc>
          <w:tcPr>
            <w:tcW w:w="532" w:type="dxa"/>
            <w:noWrap w:val="0"/>
            <w:vAlign w:val="bottom"/>
          </w:tcPr>
          <w:p>
            <w:pPr>
              <w:rPr>
                <w:rFonts w:hint="default" w:ascii="Times New Roman" w:hAnsi="Times New Roman" w:cs="Times New Roman"/>
                <w:i w:val="0"/>
                <w:color w:val="000000"/>
                <w:sz w:val="20"/>
                <w:szCs w:val="20"/>
                <w:u w:val="none"/>
              </w:rPr>
            </w:pPr>
          </w:p>
        </w:tc>
        <w:tc>
          <w:tcPr>
            <w:tcW w:w="654" w:type="dxa"/>
            <w:noWrap w:val="0"/>
            <w:vAlign w:val="bottom"/>
          </w:tcPr>
          <w:p>
            <w:pPr>
              <w:rPr>
                <w:rFonts w:hint="default" w:ascii="Times New Roman" w:hAnsi="Times New Roman" w:cs="Times New Roman"/>
                <w:i w:val="0"/>
                <w:color w:val="000000"/>
                <w:sz w:val="20"/>
                <w:szCs w:val="20"/>
                <w:u w:val="none"/>
              </w:rPr>
            </w:pPr>
          </w:p>
        </w:tc>
        <w:tc>
          <w:tcPr>
            <w:tcW w:w="491" w:type="dxa"/>
            <w:noWrap w:val="0"/>
            <w:vAlign w:val="bottom"/>
          </w:tcPr>
          <w:p>
            <w:pPr>
              <w:rPr>
                <w:rFonts w:hint="default" w:ascii="Times New Roman" w:hAnsi="Times New Roman" w:cs="Times New Roman"/>
                <w:i w:val="0"/>
                <w:color w:val="000000"/>
                <w:sz w:val="20"/>
                <w:szCs w:val="20"/>
                <w:u w:val="none"/>
              </w:rPr>
            </w:pPr>
          </w:p>
        </w:tc>
        <w:tc>
          <w:tcPr>
            <w:tcW w:w="696" w:type="dxa"/>
            <w:noWrap w:val="0"/>
            <w:vAlign w:val="bottom"/>
          </w:tcPr>
          <w:p>
            <w:pPr>
              <w:rPr>
                <w:rFonts w:hint="default" w:ascii="Times New Roman" w:hAnsi="Times New Roman" w:cs="Times New Roman"/>
                <w:i w:val="0"/>
                <w:color w:val="000000"/>
                <w:sz w:val="20"/>
                <w:szCs w:val="20"/>
                <w:u w:val="none"/>
              </w:rPr>
            </w:pPr>
          </w:p>
        </w:tc>
        <w:tc>
          <w:tcPr>
            <w:tcW w:w="763" w:type="dxa"/>
            <w:noWrap w:val="0"/>
            <w:vAlign w:val="bottom"/>
          </w:tcPr>
          <w:p>
            <w:pPr>
              <w:rPr>
                <w:rFonts w:hint="default" w:ascii="Times New Roman" w:hAnsi="Times New Roman" w:cs="Times New Roman"/>
                <w:i w:val="0"/>
                <w:color w:val="000000"/>
                <w:sz w:val="20"/>
                <w:szCs w:val="20"/>
                <w:u w:val="none"/>
              </w:rPr>
            </w:pPr>
          </w:p>
        </w:tc>
        <w:tc>
          <w:tcPr>
            <w:tcW w:w="628" w:type="dxa"/>
            <w:noWrap w:val="0"/>
            <w:vAlign w:val="bottom"/>
          </w:tcPr>
          <w:p>
            <w:pPr>
              <w:rPr>
                <w:rFonts w:hint="default" w:ascii="Times New Roman" w:hAnsi="Times New Roman"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0" w:hRule="atLeast"/>
          <w:jc w:val="center"/>
        </w:trPr>
        <w:tc>
          <w:tcPr>
            <w:tcW w:w="10140" w:type="dxa"/>
            <w:gridSpan w:val="14"/>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202</w:t>
            </w:r>
            <w:r>
              <w:rPr>
                <w:rFonts w:hint="default" w:ascii="Times New Roman" w:hAnsi="Times New Roman" w:cs="Times New Roman"/>
                <w:b/>
                <w:i w:val="0"/>
                <w:color w:val="000000"/>
                <w:kern w:val="0"/>
                <w:sz w:val="20"/>
                <w:szCs w:val="20"/>
                <w:highlight w:val="none"/>
                <w:u w:val="none"/>
                <w:lang w:val="en-US" w:eastAsia="zh-CN" w:bidi="ar"/>
              </w:rPr>
              <w:t>5</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cs="Times New Roman"/>
                <w:b/>
                <w:i w:val="0"/>
                <w:color w:val="000000"/>
                <w:kern w:val="0"/>
                <w:sz w:val="20"/>
                <w:szCs w:val="20"/>
                <w:highlight w:val="none"/>
                <w:u w:val="none"/>
                <w:lang w:val="en-US" w:eastAsia="zh-CN" w:bidi="ar"/>
              </w:rPr>
              <w:t>泽普县</w:t>
            </w:r>
            <w:r>
              <w:rPr>
                <w:rFonts w:hint="default" w:ascii="Times New Roman" w:hAnsi="Times New Roman" w:eastAsia="宋体" w:cs="Times New Roman"/>
                <w:b/>
                <w:i w:val="0"/>
                <w:color w:val="000000"/>
                <w:kern w:val="0"/>
                <w:sz w:val="20"/>
                <w:szCs w:val="20"/>
                <w:highlight w:val="none"/>
                <w:u w:val="none"/>
                <w:lang w:val="en-US" w:eastAsia="zh-CN" w:bidi="ar"/>
              </w:rPr>
              <w:t>国有资本经营预算收支总表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10" w:hRule="atLeast"/>
          <w:jc w:val="center"/>
        </w:trPr>
        <w:tc>
          <w:tcPr>
            <w:tcW w:w="1161"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538"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583"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519"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575"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77"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28"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95"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532" w:type="dxa"/>
            <w:noWrap w:val="0"/>
            <w:vAlign w:val="bottom"/>
          </w:tcPr>
          <w:p>
            <w:pPr>
              <w:rPr>
                <w:rFonts w:hint="default" w:ascii="Times New Roman" w:hAnsi="Times New Roman" w:cs="Times New Roman"/>
                <w:i w:val="0"/>
                <w:color w:val="000000"/>
                <w:sz w:val="20"/>
                <w:szCs w:val="20"/>
                <w:highlight w:val="none"/>
                <w:u w:val="none"/>
              </w:rPr>
            </w:pPr>
          </w:p>
        </w:tc>
        <w:tc>
          <w:tcPr>
            <w:tcW w:w="654" w:type="dxa"/>
            <w:noWrap w:val="0"/>
            <w:vAlign w:val="bottom"/>
          </w:tcPr>
          <w:p>
            <w:pPr>
              <w:rPr>
                <w:rFonts w:hint="default" w:ascii="Times New Roman" w:hAnsi="Times New Roman" w:cs="Times New Roman"/>
                <w:i w:val="0"/>
                <w:color w:val="000000"/>
                <w:sz w:val="20"/>
                <w:szCs w:val="20"/>
                <w:highlight w:val="none"/>
                <w:u w:val="none"/>
              </w:rPr>
            </w:pPr>
          </w:p>
        </w:tc>
        <w:tc>
          <w:tcPr>
            <w:tcW w:w="491" w:type="dxa"/>
            <w:noWrap w:val="0"/>
            <w:vAlign w:val="bottom"/>
          </w:tcPr>
          <w:p>
            <w:pPr>
              <w:rPr>
                <w:rFonts w:hint="default" w:ascii="Times New Roman" w:hAnsi="Times New Roman" w:cs="Times New Roman"/>
                <w:i w:val="0"/>
                <w:color w:val="000000"/>
                <w:sz w:val="20"/>
                <w:szCs w:val="20"/>
                <w:highlight w:val="none"/>
                <w:u w:val="none"/>
              </w:rPr>
            </w:pPr>
          </w:p>
        </w:tc>
        <w:tc>
          <w:tcPr>
            <w:tcW w:w="696" w:type="dxa"/>
            <w:noWrap w:val="0"/>
            <w:vAlign w:val="bottom"/>
          </w:tcPr>
          <w:p>
            <w:pPr>
              <w:rPr>
                <w:rFonts w:hint="default" w:ascii="Times New Roman" w:hAnsi="Times New Roman" w:cs="Times New Roman"/>
                <w:i w:val="0"/>
                <w:color w:val="000000"/>
                <w:sz w:val="20"/>
                <w:szCs w:val="20"/>
                <w:highlight w:val="none"/>
                <w:u w:val="none"/>
              </w:rPr>
            </w:pPr>
          </w:p>
        </w:tc>
        <w:tc>
          <w:tcPr>
            <w:tcW w:w="1391" w:type="dxa"/>
            <w:gridSpan w:val="2"/>
            <w:tcBorders>
              <w:bottom w:val="single" w:color="000000" w:sz="4" w:space="0"/>
            </w:tcBorders>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jc w:val="center"/>
        </w:trPr>
        <w:tc>
          <w:tcPr>
            <w:tcW w:w="4981"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收          入</w:t>
            </w:r>
          </w:p>
        </w:tc>
        <w:tc>
          <w:tcPr>
            <w:tcW w:w="5159"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jc w:val="center"/>
        </w:trPr>
        <w:tc>
          <w:tcPr>
            <w:tcW w:w="116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项        目</w:t>
            </w:r>
          </w:p>
        </w:tc>
        <w:tc>
          <w:tcPr>
            <w:tcW w:w="164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202</w:t>
            </w:r>
            <w:r>
              <w:rPr>
                <w:rFonts w:hint="default" w:ascii="Times New Roman" w:hAnsi="Times New Roman" w:cs="Times New Roman"/>
                <w:b/>
                <w:i w:val="0"/>
                <w:color w:val="000000"/>
                <w:kern w:val="0"/>
                <w:sz w:val="20"/>
                <w:szCs w:val="20"/>
                <w:u w:val="none"/>
                <w:lang w:val="en-US" w:eastAsia="zh-CN" w:bidi="ar"/>
              </w:rPr>
              <w:t>4</w:t>
            </w:r>
            <w:r>
              <w:rPr>
                <w:rFonts w:hint="default" w:ascii="Times New Roman" w:hAnsi="Times New Roman" w:eastAsia="宋体" w:cs="Times New Roman"/>
                <w:b/>
                <w:i w:val="0"/>
                <w:color w:val="000000"/>
                <w:kern w:val="0"/>
                <w:sz w:val="20"/>
                <w:szCs w:val="20"/>
                <w:u w:val="none"/>
                <w:lang w:val="en-US" w:eastAsia="zh-Hans" w:bidi="ar"/>
              </w:rPr>
              <w:t>完成</w:t>
            </w:r>
            <w:r>
              <w:rPr>
                <w:rFonts w:hint="default" w:ascii="Times New Roman" w:hAnsi="Times New Roman" w:eastAsia="宋体" w:cs="Times New Roman"/>
                <w:b/>
                <w:i w:val="0"/>
                <w:color w:val="000000"/>
                <w:kern w:val="0"/>
                <w:sz w:val="20"/>
                <w:szCs w:val="20"/>
                <w:u w:val="none"/>
                <w:lang w:val="en-US" w:eastAsia="zh-CN" w:bidi="ar"/>
              </w:rPr>
              <w:t>数</w:t>
            </w:r>
          </w:p>
        </w:tc>
        <w:tc>
          <w:tcPr>
            <w:tcW w:w="218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202</w:t>
            </w:r>
            <w:r>
              <w:rPr>
                <w:rFonts w:hint="default" w:ascii="Times New Roman" w:hAnsi="Times New Roman" w:cs="Times New Roman"/>
                <w:b/>
                <w:i w:val="0"/>
                <w:color w:val="000000"/>
                <w:kern w:val="0"/>
                <w:sz w:val="20"/>
                <w:szCs w:val="20"/>
                <w:u w:val="none"/>
                <w:lang w:val="en-US" w:eastAsia="zh-CN" w:bidi="ar"/>
              </w:rPr>
              <w:t>5</w:t>
            </w:r>
            <w:r>
              <w:rPr>
                <w:rFonts w:hint="default" w:ascii="Times New Roman" w:hAnsi="Times New Roman" w:eastAsia="宋体" w:cs="Times New Roman"/>
                <w:b/>
                <w:i w:val="0"/>
                <w:color w:val="000000"/>
                <w:kern w:val="0"/>
                <w:sz w:val="20"/>
                <w:szCs w:val="20"/>
                <w:u w:val="none"/>
                <w:lang w:val="en-US" w:eastAsia="zh-CN" w:bidi="ar"/>
              </w:rPr>
              <w:t>预算数</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项        目</w:t>
            </w:r>
          </w:p>
        </w:tc>
        <w:tc>
          <w:tcPr>
            <w:tcW w:w="167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202</w:t>
            </w:r>
            <w:r>
              <w:rPr>
                <w:rFonts w:hint="default" w:ascii="Times New Roman" w:hAnsi="Times New Roman" w:cs="Times New Roman"/>
                <w:b/>
                <w:i w:val="0"/>
                <w:color w:val="000000"/>
                <w:kern w:val="0"/>
                <w:sz w:val="20"/>
                <w:szCs w:val="20"/>
                <w:u w:val="none"/>
                <w:lang w:val="en-US" w:eastAsia="zh-CN" w:bidi="ar"/>
              </w:rPr>
              <w:t>4</w:t>
            </w:r>
            <w:r>
              <w:rPr>
                <w:rFonts w:hint="default" w:ascii="Times New Roman" w:hAnsi="Times New Roman" w:eastAsia="宋体" w:cs="Times New Roman"/>
                <w:b/>
                <w:i w:val="0"/>
                <w:color w:val="000000"/>
                <w:kern w:val="0"/>
                <w:sz w:val="20"/>
                <w:szCs w:val="20"/>
                <w:u w:val="none"/>
                <w:lang w:val="en-US" w:eastAsia="zh-Hans" w:bidi="ar"/>
              </w:rPr>
              <w:t>完成</w:t>
            </w:r>
            <w:r>
              <w:rPr>
                <w:rFonts w:hint="default" w:ascii="Times New Roman" w:hAnsi="Times New Roman" w:eastAsia="宋体" w:cs="Times New Roman"/>
                <w:b/>
                <w:i w:val="0"/>
                <w:color w:val="000000"/>
                <w:kern w:val="0"/>
                <w:sz w:val="20"/>
                <w:szCs w:val="20"/>
                <w:u w:val="none"/>
                <w:lang w:val="en-US" w:eastAsia="zh-CN" w:bidi="ar"/>
              </w:rPr>
              <w:t>数</w:t>
            </w:r>
          </w:p>
        </w:tc>
        <w:tc>
          <w:tcPr>
            <w:tcW w:w="208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202</w:t>
            </w:r>
            <w:r>
              <w:rPr>
                <w:rFonts w:hint="default" w:ascii="Times New Roman" w:hAnsi="Times New Roman" w:cs="Times New Roman"/>
                <w:b/>
                <w:i w:val="0"/>
                <w:color w:val="000000"/>
                <w:kern w:val="0"/>
                <w:sz w:val="20"/>
                <w:szCs w:val="20"/>
                <w:u w:val="none"/>
                <w:lang w:val="en-US" w:eastAsia="zh-CN" w:bidi="ar"/>
              </w:rPr>
              <w:t>5</w:t>
            </w:r>
            <w:r>
              <w:rPr>
                <w:rFonts w:hint="default" w:ascii="Times New Roman" w:hAnsi="Times New Roman" w:eastAsia="宋体" w:cs="Times New Roman"/>
                <w:b/>
                <w:i w:val="0"/>
                <w:color w:val="000000"/>
                <w:kern w:val="0"/>
                <w:sz w:val="20"/>
                <w:szCs w:val="20"/>
                <w:u w:val="none"/>
                <w:lang w:val="en-US" w:eastAsia="zh-CN" w:bidi="ar"/>
              </w:rPr>
              <w:t>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70"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u w:val="none"/>
              </w:rPr>
            </w:pPr>
          </w:p>
        </w:tc>
        <w:tc>
          <w:tcPr>
            <w:tcW w:w="5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合计</w:t>
            </w:r>
          </w:p>
        </w:tc>
        <w:tc>
          <w:tcPr>
            <w:tcW w:w="58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cs="Times New Roman"/>
                <w:b/>
                <w:i w:val="0"/>
                <w:color w:val="000000"/>
                <w:kern w:val="0"/>
                <w:sz w:val="20"/>
                <w:szCs w:val="20"/>
                <w:u w:val="none"/>
                <w:lang w:val="en-US" w:eastAsia="zh-CN" w:bidi="ar"/>
              </w:rPr>
              <w:t>泽普县</w:t>
            </w:r>
            <w:r>
              <w:rPr>
                <w:rFonts w:hint="default" w:ascii="Times New Roman" w:hAnsi="Times New Roman" w:eastAsia="宋体" w:cs="Times New Roman"/>
                <w:b/>
                <w:i w:val="0"/>
                <w:color w:val="000000"/>
                <w:kern w:val="0"/>
                <w:sz w:val="20"/>
                <w:szCs w:val="20"/>
                <w:u w:val="none"/>
                <w:lang w:val="en-US" w:eastAsia="zh-CN" w:bidi="ar"/>
              </w:rPr>
              <w:t>本级</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eastAsia="zh-CN" w:bidi="ar"/>
              </w:rPr>
            </w:pPr>
            <w:r>
              <w:rPr>
                <w:rFonts w:hint="default" w:ascii="Times New Roman" w:hAnsi="Times New Roman" w:eastAsia="宋体" w:cs="Times New Roman"/>
                <w:b/>
                <w:i w:val="0"/>
                <w:color w:val="000000"/>
                <w:kern w:val="0"/>
                <w:sz w:val="20"/>
                <w:szCs w:val="20"/>
                <w:u w:val="none"/>
                <w:lang w:val="en-US" w:eastAsia="zh-CN" w:bidi="ar"/>
              </w:rPr>
              <w:t>地市级</w:t>
            </w:r>
          </w:p>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以下</w:t>
            </w:r>
          </w:p>
        </w:tc>
        <w:tc>
          <w:tcPr>
            <w:tcW w:w="5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合计</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cs="Times New Roman"/>
                <w:b/>
                <w:i w:val="0"/>
                <w:color w:val="000000"/>
                <w:kern w:val="0"/>
                <w:sz w:val="20"/>
                <w:szCs w:val="20"/>
                <w:u w:val="none"/>
                <w:lang w:val="en-US" w:eastAsia="zh-CN" w:bidi="ar"/>
              </w:rPr>
              <w:t>泽普县</w:t>
            </w:r>
            <w:r>
              <w:rPr>
                <w:rFonts w:hint="default" w:ascii="Times New Roman" w:hAnsi="Times New Roman" w:eastAsia="宋体" w:cs="Times New Roman"/>
                <w:b/>
                <w:i w:val="0"/>
                <w:color w:val="000000"/>
                <w:kern w:val="0"/>
                <w:sz w:val="20"/>
                <w:szCs w:val="20"/>
                <w:u w:val="none"/>
                <w:lang w:val="en-US" w:eastAsia="zh-CN" w:bidi="ar"/>
              </w:rPr>
              <w:t>本级</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eastAsia="zh-CN" w:bidi="ar"/>
              </w:rPr>
            </w:pPr>
            <w:r>
              <w:rPr>
                <w:rFonts w:hint="default" w:ascii="Times New Roman" w:hAnsi="Times New Roman" w:eastAsia="宋体" w:cs="Times New Roman"/>
                <w:b/>
                <w:i w:val="0"/>
                <w:color w:val="000000"/>
                <w:kern w:val="0"/>
                <w:sz w:val="20"/>
                <w:szCs w:val="20"/>
                <w:u w:val="none"/>
                <w:lang w:val="en-US" w:eastAsia="zh-CN" w:bidi="ar"/>
              </w:rPr>
              <w:t>地市级</w:t>
            </w:r>
          </w:p>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以下</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u w:val="none"/>
              </w:rPr>
            </w:pPr>
          </w:p>
        </w:tc>
        <w:tc>
          <w:tcPr>
            <w:tcW w:w="5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合计</w:t>
            </w:r>
          </w:p>
        </w:tc>
        <w:tc>
          <w:tcPr>
            <w:tcW w:w="6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cs="Times New Roman"/>
                <w:b/>
                <w:i w:val="0"/>
                <w:color w:val="000000"/>
                <w:kern w:val="0"/>
                <w:sz w:val="20"/>
                <w:szCs w:val="20"/>
                <w:u w:val="none"/>
                <w:lang w:val="en-US" w:eastAsia="zh-CN" w:bidi="ar"/>
              </w:rPr>
              <w:t>泽普县</w:t>
            </w:r>
            <w:r>
              <w:rPr>
                <w:rFonts w:hint="default" w:ascii="Times New Roman" w:hAnsi="Times New Roman" w:eastAsia="宋体" w:cs="Times New Roman"/>
                <w:b/>
                <w:i w:val="0"/>
                <w:color w:val="000000"/>
                <w:kern w:val="0"/>
                <w:sz w:val="20"/>
                <w:szCs w:val="20"/>
                <w:u w:val="none"/>
                <w:lang w:val="en-US" w:eastAsia="zh-CN" w:bidi="ar"/>
              </w:rPr>
              <w:t>本级</w:t>
            </w:r>
          </w:p>
        </w:tc>
        <w:tc>
          <w:tcPr>
            <w:tcW w:w="4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eastAsia="zh-CN" w:bidi="ar"/>
              </w:rPr>
            </w:pPr>
            <w:r>
              <w:rPr>
                <w:rFonts w:hint="default" w:ascii="Times New Roman" w:hAnsi="Times New Roman" w:eastAsia="宋体" w:cs="Times New Roman"/>
                <w:b/>
                <w:i w:val="0"/>
                <w:color w:val="000000"/>
                <w:kern w:val="0"/>
                <w:sz w:val="20"/>
                <w:szCs w:val="20"/>
                <w:u w:val="none"/>
                <w:lang w:val="en-US" w:eastAsia="zh-CN" w:bidi="ar"/>
              </w:rPr>
              <w:t>地市级</w:t>
            </w:r>
          </w:p>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以下</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合计</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cs="Times New Roman"/>
                <w:b/>
                <w:i w:val="0"/>
                <w:color w:val="000000"/>
                <w:kern w:val="0"/>
                <w:sz w:val="20"/>
                <w:szCs w:val="20"/>
                <w:u w:val="none"/>
                <w:lang w:val="en-US" w:eastAsia="zh-CN" w:bidi="ar"/>
              </w:rPr>
              <w:t>泽普县</w:t>
            </w:r>
            <w:r>
              <w:rPr>
                <w:rFonts w:hint="default" w:ascii="Times New Roman" w:hAnsi="Times New Roman" w:eastAsia="宋体" w:cs="Times New Roman"/>
                <w:b/>
                <w:i w:val="0"/>
                <w:color w:val="000000"/>
                <w:kern w:val="0"/>
                <w:sz w:val="20"/>
                <w:szCs w:val="20"/>
                <w:u w:val="none"/>
                <w:lang w:val="en-US" w:eastAsia="zh-CN" w:bidi="ar"/>
              </w:rPr>
              <w:t>本级</w:t>
            </w:r>
          </w:p>
        </w:tc>
        <w:tc>
          <w:tcPr>
            <w:tcW w:w="6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eastAsia="zh-CN" w:bidi="ar"/>
              </w:rPr>
            </w:pPr>
            <w:r>
              <w:rPr>
                <w:rFonts w:hint="default" w:ascii="Times New Roman" w:hAnsi="Times New Roman" w:eastAsia="宋体" w:cs="Times New Roman"/>
                <w:b/>
                <w:i w:val="0"/>
                <w:color w:val="000000"/>
                <w:kern w:val="0"/>
                <w:sz w:val="20"/>
                <w:szCs w:val="20"/>
                <w:u w:val="none"/>
                <w:lang w:val="en-US" w:eastAsia="zh-CN" w:bidi="ar"/>
              </w:rPr>
              <w:t>地市级</w:t>
            </w:r>
          </w:p>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以下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jc w:val="center"/>
        </w:trPr>
        <w:tc>
          <w:tcPr>
            <w:tcW w:w="11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一、利润收入</w:t>
            </w:r>
          </w:p>
        </w:tc>
        <w:tc>
          <w:tcPr>
            <w:tcW w:w="5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897</w:t>
            </w:r>
          </w:p>
        </w:tc>
        <w:tc>
          <w:tcPr>
            <w:tcW w:w="58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lang w:val="en-US"/>
              </w:rPr>
            </w:pPr>
            <w:r>
              <w:rPr>
                <w:rFonts w:hint="default" w:ascii="Times New Roman" w:hAnsi="Times New Roman" w:eastAsia="等线" w:cs="Times New Roman"/>
                <w:i w:val="0"/>
                <w:color w:val="000000"/>
                <w:kern w:val="0"/>
                <w:sz w:val="22"/>
                <w:szCs w:val="22"/>
                <w:u w:val="none"/>
                <w:lang w:val="en-US" w:eastAsia="zh-CN" w:bidi="ar"/>
              </w:rPr>
              <w:t>897</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5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1013</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1013</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3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一、解决历史遗留问题及改革成本支出</w:t>
            </w:r>
          </w:p>
        </w:tc>
        <w:tc>
          <w:tcPr>
            <w:tcW w:w="5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5</w:t>
            </w:r>
          </w:p>
        </w:tc>
        <w:tc>
          <w:tcPr>
            <w:tcW w:w="65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5</w:t>
            </w:r>
          </w:p>
        </w:tc>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5</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5</w:t>
            </w:r>
          </w:p>
        </w:tc>
        <w:tc>
          <w:tcPr>
            <w:tcW w:w="62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jc w:val="center"/>
        </w:trPr>
        <w:tc>
          <w:tcPr>
            <w:tcW w:w="11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二、股利、股息收入</w:t>
            </w:r>
          </w:p>
        </w:tc>
        <w:tc>
          <w:tcPr>
            <w:tcW w:w="5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58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57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2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3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二、国有企业资本金注入</w:t>
            </w:r>
          </w:p>
        </w:tc>
        <w:tc>
          <w:tcPr>
            <w:tcW w:w="5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p>
        </w:tc>
        <w:tc>
          <w:tcPr>
            <w:tcW w:w="65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p>
        </w:tc>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500</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500</w:t>
            </w:r>
          </w:p>
        </w:tc>
        <w:tc>
          <w:tcPr>
            <w:tcW w:w="62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jc w:val="center"/>
        </w:trPr>
        <w:tc>
          <w:tcPr>
            <w:tcW w:w="11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三、产权转让收入</w:t>
            </w:r>
          </w:p>
        </w:tc>
        <w:tc>
          <w:tcPr>
            <w:tcW w:w="5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58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57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2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3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三、国有企业政策性补贴</w:t>
            </w:r>
          </w:p>
        </w:tc>
        <w:tc>
          <w:tcPr>
            <w:tcW w:w="5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65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76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62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jc w:val="center"/>
        </w:trPr>
        <w:tc>
          <w:tcPr>
            <w:tcW w:w="11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四、清算收入</w:t>
            </w:r>
          </w:p>
        </w:tc>
        <w:tc>
          <w:tcPr>
            <w:tcW w:w="5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58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57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2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3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四、其他国有资本经营预算支出</w:t>
            </w:r>
          </w:p>
        </w:tc>
        <w:tc>
          <w:tcPr>
            <w:tcW w:w="5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10</w:t>
            </w:r>
          </w:p>
        </w:tc>
        <w:tc>
          <w:tcPr>
            <w:tcW w:w="65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10</w:t>
            </w:r>
          </w:p>
        </w:tc>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76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62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jc w:val="center"/>
        </w:trPr>
        <w:tc>
          <w:tcPr>
            <w:tcW w:w="11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五、其他国有资本经营预算收入</w:t>
            </w:r>
          </w:p>
        </w:tc>
        <w:tc>
          <w:tcPr>
            <w:tcW w:w="5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58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57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2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395"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i w:val="0"/>
                <w:color w:val="000000"/>
                <w:sz w:val="20"/>
                <w:szCs w:val="20"/>
                <w:u w:val="none"/>
              </w:rPr>
            </w:pPr>
          </w:p>
        </w:tc>
        <w:tc>
          <w:tcPr>
            <w:tcW w:w="5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65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76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62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0" w:hRule="atLeast"/>
          <w:jc w:val="center"/>
        </w:trPr>
        <w:tc>
          <w:tcPr>
            <w:tcW w:w="1161"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i w:val="0"/>
                <w:color w:val="000000"/>
                <w:sz w:val="20"/>
                <w:szCs w:val="20"/>
                <w:u w:val="none"/>
              </w:rPr>
            </w:pPr>
          </w:p>
        </w:tc>
        <w:tc>
          <w:tcPr>
            <w:tcW w:w="5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58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57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b/>
                <w:i w:val="0"/>
                <w:color w:val="000000"/>
                <w:sz w:val="20"/>
                <w:szCs w:val="20"/>
                <w:u w:val="none"/>
              </w:rPr>
            </w:pP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2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3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5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65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76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62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50" w:hRule="atLeast"/>
          <w:jc w:val="center"/>
        </w:trPr>
        <w:tc>
          <w:tcPr>
            <w:tcW w:w="11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收入合计</w:t>
            </w:r>
          </w:p>
        </w:tc>
        <w:tc>
          <w:tcPr>
            <w:tcW w:w="5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color w:val="000000"/>
                <w:sz w:val="20"/>
                <w:szCs w:val="20"/>
                <w:u w:val="none"/>
              </w:rPr>
            </w:pPr>
            <w:r>
              <w:rPr>
                <w:rFonts w:hint="default" w:ascii="Times New Roman" w:hAnsi="Times New Roman" w:cs="Times New Roman"/>
                <w:b/>
                <w:bCs/>
                <w:i w:val="0"/>
                <w:color w:val="000000"/>
                <w:sz w:val="20"/>
                <w:szCs w:val="20"/>
                <w:u w:val="none"/>
                <w:lang w:val="en-US" w:eastAsia="zh-CN"/>
              </w:rPr>
              <w:t>897</w:t>
            </w:r>
          </w:p>
        </w:tc>
        <w:tc>
          <w:tcPr>
            <w:tcW w:w="58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lang w:val="en-US"/>
              </w:rPr>
            </w:pPr>
            <w:r>
              <w:rPr>
                <w:rFonts w:hint="default" w:ascii="Times New Roman" w:hAnsi="Times New Roman" w:eastAsia="等线" w:cs="Times New Roman"/>
                <w:b/>
                <w:bCs/>
                <w:i w:val="0"/>
                <w:color w:val="000000"/>
                <w:kern w:val="0"/>
                <w:sz w:val="22"/>
                <w:szCs w:val="22"/>
                <w:u w:val="none"/>
                <w:lang w:val="en-US" w:eastAsia="zh-CN" w:bidi="ar"/>
              </w:rPr>
              <w:t>897</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color w:val="000000"/>
                <w:sz w:val="20"/>
                <w:szCs w:val="20"/>
                <w:u w:val="none"/>
              </w:rPr>
            </w:pPr>
          </w:p>
        </w:tc>
        <w:tc>
          <w:tcPr>
            <w:tcW w:w="5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color w:val="000000"/>
                <w:sz w:val="20"/>
                <w:szCs w:val="20"/>
                <w:u w:val="none"/>
                <w:lang w:val="en-US"/>
              </w:rPr>
            </w:pPr>
            <w:r>
              <w:rPr>
                <w:rFonts w:hint="default" w:ascii="Times New Roman" w:hAnsi="Times New Roman" w:cs="Times New Roman"/>
                <w:b/>
                <w:bCs/>
                <w:i w:val="0"/>
                <w:color w:val="000000"/>
                <w:sz w:val="20"/>
                <w:szCs w:val="20"/>
                <w:u w:val="none"/>
                <w:lang w:val="en-US" w:eastAsia="zh-CN"/>
              </w:rPr>
              <w:t>1013</w:t>
            </w:r>
          </w:p>
        </w:tc>
        <w:tc>
          <w:tcPr>
            <w:tcW w:w="777"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default" w:ascii="Times New Roman" w:hAnsi="Times New Roman" w:eastAsia="宋体" w:cs="Times New Roman"/>
                <w:b/>
                <w:bCs/>
                <w:i w:val="0"/>
                <w:color w:val="000000"/>
                <w:sz w:val="20"/>
                <w:szCs w:val="20"/>
                <w:u w:val="none"/>
                <w:lang w:val="en-US"/>
              </w:rPr>
            </w:pPr>
            <w:r>
              <w:rPr>
                <w:rFonts w:hint="default" w:ascii="Times New Roman" w:hAnsi="Times New Roman" w:cs="Times New Roman"/>
                <w:b/>
                <w:bCs/>
                <w:i w:val="0"/>
                <w:color w:val="000000"/>
                <w:sz w:val="20"/>
                <w:szCs w:val="20"/>
                <w:u w:val="none"/>
                <w:lang w:val="en-US" w:eastAsia="zh-CN"/>
              </w:rPr>
              <w:t>1013</w:t>
            </w:r>
          </w:p>
        </w:tc>
        <w:tc>
          <w:tcPr>
            <w:tcW w:w="828" w:type="dxa"/>
            <w:tcBorders>
              <w:top w:val="single" w:color="000000" w:sz="4" w:space="0"/>
              <w:left w:val="single" w:color="000000" w:sz="4" w:space="0"/>
              <w:bottom w:val="single" w:color="auto" w:sz="4" w:space="0"/>
              <w:right w:val="single" w:color="000000" w:sz="4" w:space="0"/>
            </w:tcBorders>
            <w:noWrap w:val="0"/>
            <w:vAlign w:val="center"/>
          </w:tcPr>
          <w:p>
            <w:pPr>
              <w:jc w:val="right"/>
              <w:rPr>
                <w:rFonts w:hint="default" w:ascii="Times New Roman" w:hAnsi="Times New Roman" w:eastAsia="宋体" w:cs="Times New Roman"/>
                <w:b/>
                <w:bCs/>
                <w:i w:val="0"/>
                <w:color w:val="000000"/>
                <w:sz w:val="20"/>
                <w:szCs w:val="20"/>
                <w:u w:val="none"/>
              </w:rPr>
            </w:pPr>
          </w:p>
        </w:tc>
        <w:tc>
          <w:tcPr>
            <w:tcW w:w="13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支出合计</w:t>
            </w:r>
          </w:p>
        </w:tc>
        <w:tc>
          <w:tcPr>
            <w:tcW w:w="5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color w:val="000000"/>
                <w:sz w:val="20"/>
                <w:szCs w:val="20"/>
                <w:u w:val="none"/>
                <w:lang w:val="en-US" w:eastAsia="zh-CN"/>
              </w:rPr>
            </w:pPr>
            <w:r>
              <w:rPr>
                <w:rFonts w:hint="default" w:ascii="Times New Roman" w:hAnsi="Times New Roman" w:cs="Times New Roman"/>
                <w:b/>
                <w:bCs/>
                <w:i w:val="0"/>
                <w:color w:val="000000"/>
                <w:sz w:val="20"/>
                <w:szCs w:val="20"/>
                <w:u w:val="none"/>
                <w:lang w:val="en-US" w:eastAsia="zh-CN"/>
              </w:rPr>
              <w:t>15</w:t>
            </w:r>
          </w:p>
        </w:tc>
        <w:tc>
          <w:tcPr>
            <w:tcW w:w="65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color w:val="000000"/>
                <w:sz w:val="20"/>
                <w:szCs w:val="20"/>
                <w:u w:val="none"/>
              </w:rPr>
            </w:pPr>
            <w:r>
              <w:rPr>
                <w:rFonts w:hint="default" w:ascii="Times New Roman" w:hAnsi="Times New Roman" w:cs="Times New Roman"/>
                <w:b/>
                <w:bCs/>
                <w:i w:val="0"/>
                <w:color w:val="000000"/>
                <w:sz w:val="20"/>
                <w:szCs w:val="20"/>
                <w:u w:val="none"/>
                <w:lang w:val="en-US" w:eastAsia="zh-CN"/>
              </w:rPr>
              <w:t>15</w:t>
            </w:r>
          </w:p>
        </w:tc>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color w:val="000000"/>
                <w:sz w:val="20"/>
                <w:szCs w:val="20"/>
                <w:u w:val="none"/>
              </w:rPr>
            </w:pP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color w:val="000000"/>
                <w:sz w:val="20"/>
                <w:szCs w:val="20"/>
                <w:u w:val="none"/>
                <w:lang w:val="en-US"/>
              </w:rPr>
            </w:pPr>
            <w:r>
              <w:rPr>
                <w:rFonts w:hint="default" w:ascii="Times New Roman" w:hAnsi="Times New Roman" w:cs="Times New Roman"/>
                <w:b/>
                <w:bCs/>
                <w:i w:val="0"/>
                <w:color w:val="000000"/>
                <w:sz w:val="20"/>
                <w:szCs w:val="20"/>
                <w:u w:val="none"/>
                <w:lang w:val="en-US" w:eastAsia="zh-CN"/>
              </w:rPr>
              <w:t>505</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color w:val="000000"/>
                <w:sz w:val="20"/>
                <w:szCs w:val="20"/>
                <w:u w:val="none"/>
                <w:lang w:val="en-US" w:eastAsia="zh-CN"/>
              </w:rPr>
            </w:pPr>
            <w:r>
              <w:rPr>
                <w:rFonts w:hint="default" w:ascii="Times New Roman" w:hAnsi="Times New Roman" w:cs="Times New Roman"/>
                <w:b/>
                <w:bCs/>
                <w:i w:val="0"/>
                <w:color w:val="000000"/>
                <w:sz w:val="20"/>
                <w:szCs w:val="20"/>
                <w:u w:val="none"/>
                <w:lang w:val="en-US" w:eastAsia="zh-CN"/>
              </w:rPr>
              <w:t>505</w:t>
            </w:r>
          </w:p>
        </w:tc>
        <w:tc>
          <w:tcPr>
            <w:tcW w:w="62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b/>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jc w:val="center"/>
        </w:trPr>
        <w:tc>
          <w:tcPr>
            <w:tcW w:w="11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转移支付收入</w:t>
            </w:r>
          </w:p>
        </w:tc>
        <w:tc>
          <w:tcPr>
            <w:tcW w:w="538"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5</w:t>
            </w:r>
          </w:p>
        </w:tc>
        <w:tc>
          <w:tcPr>
            <w:tcW w:w="583"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5</w:t>
            </w:r>
          </w:p>
        </w:tc>
        <w:tc>
          <w:tcPr>
            <w:tcW w:w="519"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575"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5</w:t>
            </w:r>
          </w:p>
        </w:tc>
        <w:tc>
          <w:tcPr>
            <w:tcW w:w="777"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5</w:t>
            </w:r>
          </w:p>
        </w:tc>
        <w:tc>
          <w:tcPr>
            <w:tcW w:w="82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395"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转移支付支出</w:t>
            </w:r>
          </w:p>
        </w:tc>
        <w:tc>
          <w:tcPr>
            <w:tcW w:w="5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887</w:t>
            </w:r>
          </w:p>
        </w:tc>
        <w:tc>
          <w:tcPr>
            <w:tcW w:w="65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887</w:t>
            </w:r>
          </w:p>
        </w:tc>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513</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513</w:t>
            </w:r>
          </w:p>
        </w:tc>
        <w:tc>
          <w:tcPr>
            <w:tcW w:w="6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31" w:hRule="atLeast"/>
          <w:jc w:val="center"/>
        </w:trPr>
        <w:tc>
          <w:tcPr>
            <w:tcW w:w="1161"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国有资本经营</w:t>
            </w:r>
            <w:r>
              <w:rPr>
                <w:rFonts w:hint="default" w:ascii="Times New Roman" w:hAnsi="Times New Roman" w:cs="Times New Roman"/>
                <w:i w:val="0"/>
                <w:color w:val="000000"/>
                <w:kern w:val="0"/>
                <w:sz w:val="20"/>
                <w:szCs w:val="20"/>
                <w:u w:val="none"/>
                <w:lang w:val="en-US" w:eastAsia="zh-CN" w:bidi="ar"/>
              </w:rPr>
              <w:t>预算转移支付收入</w:t>
            </w:r>
          </w:p>
        </w:tc>
        <w:tc>
          <w:tcPr>
            <w:tcW w:w="538"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b/>
                <w:bCs/>
                <w:i w:val="0"/>
                <w:color w:val="000000"/>
                <w:sz w:val="20"/>
                <w:szCs w:val="20"/>
                <w:u w:val="none"/>
                <w:lang w:val="en-US" w:eastAsia="zh-CN"/>
              </w:rPr>
            </w:pPr>
          </w:p>
        </w:tc>
        <w:tc>
          <w:tcPr>
            <w:tcW w:w="583"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b/>
                <w:bCs/>
                <w:i w:val="0"/>
                <w:color w:val="000000"/>
                <w:sz w:val="20"/>
                <w:szCs w:val="20"/>
                <w:u w:val="none"/>
                <w:lang w:val="en-US" w:eastAsia="zh-CN"/>
              </w:rPr>
            </w:pPr>
          </w:p>
        </w:tc>
        <w:tc>
          <w:tcPr>
            <w:tcW w:w="519"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b/>
                <w:bCs/>
                <w:i w:val="0"/>
                <w:color w:val="000000"/>
                <w:sz w:val="20"/>
                <w:szCs w:val="20"/>
                <w:u w:val="none"/>
              </w:rPr>
            </w:pPr>
          </w:p>
        </w:tc>
        <w:tc>
          <w:tcPr>
            <w:tcW w:w="57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b/>
                <w:bCs/>
                <w:i w:val="0"/>
                <w:color w:val="000000"/>
                <w:sz w:val="20"/>
                <w:szCs w:val="20"/>
                <w:u w:val="none"/>
                <w:lang w:val="en-US" w:eastAsia="zh-CN"/>
              </w:rPr>
            </w:pPr>
          </w:p>
        </w:tc>
        <w:tc>
          <w:tcPr>
            <w:tcW w:w="777" w:type="dxa"/>
            <w:tcBorders>
              <w:top w:val="single" w:color="auto" w:sz="4" w:space="0"/>
              <w:left w:val="single" w:color="auto"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lang w:val="en-US" w:eastAsia="zh-CN"/>
              </w:rPr>
            </w:pPr>
          </w:p>
        </w:tc>
        <w:tc>
          <w:tcPr>
            <w:tcW w:w="828" w:type="dxa"/>
            <w:tcBorders>
              <w:top w:val="single" w:color="auto"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3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国有资本经营预算</w:t>
            </w:r>
            <w:r>
              <w:rPr>
                <w:rFonts w:hint="default" w:ascii="Times New Roman" w:hAnsi="Times New Roman" w:cs="Times New Roman"/>
                <w:i w:val="0"/>
                <w:color w:val="000000"/>
                <w:kern w:val="0"/>
                <w:sz w:val="20"/>
                <w:szCs w:val="20"/>
                <w:u w:val="none"/>
                <w:lang w:val="en-US" w:eastAsia="zh-CN" w:bidi="ar"/>
              </w:rPr>
              <w:t>转移支付支出</w:t>
            </w:r>
          </w:p>
        </w:tc>
        <w:tc>
          <w:tcPr>
            <w:tcW w:w="5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65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76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62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jc w:val="center"/>
        </w:trPr>
        <w:tc>
          <w:tcPr>
            <w:tcW w:w="11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p>
        </w:tc>
        <w:tc>
          <w:tcPr>
            <w:tcW w:w="538" w:type="dxa"/>
            <w:tcBorders>
              <w:top w:val="single" w:color="auto"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583" w:type="dxa"/>
            <w:tcBorders>
              <w:top w:val="single" w:color="auto"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519" w:type="dxa"/>
            <w:tcBorders>
              <w:top w:val="single" w:color="auto"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575" w:type="dxa"/>
            <w:tcBorders>
              <w:top w:val="single" w:color="auto"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2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3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国有资本经营预算调出资金</w:t>
            </w:r>
          </w:p>
        </w:tc>
        <w:tc>
          <w:tcPr>
            <w:tcW w:w="532"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lang w:val="en-US" w:eastAsia="zh-CN"/>
              </w:rPr>
            </w:pPr>
          </w:p>
        </w:tc>
        <w:tc>
          <w:tcPr>
            <w:tcW w:w="65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lang w:val="en-US" w:eastAsia="zh-CN"/>
              </w:rPr>
            </w:pPr>
          </w:p>
        </w:tc>
        <w:tc>
          <w:tcPr>
            <w:tcW w:w="76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lang w:val="en-US" w:eastAsia="zh-CN"/>
              </w:rPr>
            </w:pPr>
          </w:p>
        </w:tc>
        <w:tc>
          <w:tcPr>
            <w:tcW w:w="62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jc w:val="center"/>
        </w:trPr>
        <w:tc>
          <w:tcPr>
            <w:tcW w:w="1161"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i w:val="0"/>
                <w:color w:val="000000"/>
                <w:sz w:val="20"/>
                <w:szCs w:val="20"/>
                <w:u w:val="none"/>
              </w:rPr>
            </w:pPr>
          </w:p>
        </w:tc>
        <w:tc>
          <w:tcPr>
            <w:tcW w:w="5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58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57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b/>
                <w:i w:val="0"/>
                <w:color w:val="000000"/>
                <w:sz w:val="20"/>
                <w:szCs w:val="20"/>
                <w:u w:val="none"/>
              </w:rPr>
            </w:pP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2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3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结转下年</w:t>
            </w:r>
          </w:p>
        </w:tc>
        <w:tc>
          <w:tcPr>
            <w:tcW w:w="5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65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76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6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60" w:hRule="atLeast"/>
          <w:jc w:val="center"/>
        </w:trPr>
        <w:tc>
          <w:tcPr>
            <w:tcW w:w="11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收入总计</w:t>
            </w:r>
          </w:p>
        </w:tc>
        <w:tc>
          <w:tcPr>
            <w:tcW w:w="5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color w:val="000000"/>
                <w:sz w:val="20"/>
                <w:szCs w:val="20"/>
                <w:u w:val="none"/>
                <w:lang w:val="en-US"/>
              </w:rPr>
            </w:pPr>
            <w:r>
              <w:rPr>
                <w:rFonts w:hint="default" w:ascii="Times New Roman" w:hAnsi="Times New Roman" w:eastAsia="等线" w:cs="Times New Roman"/>
                <w:b/>
                <w:bCs/>
                <w:i w:val="0"/>
                <w:color w:val="000000"/>
                <w:kern w:val="0"/>
                <w:sz w:val="22"/>
                <w:szCs w:val="22"/>
                <w:u w:val="none"/>
                <w:lang w:val="en-US" w:eastAsia="zh-CN" w:bidi="ar"/>
              </w:rPr>
              <w:t>902</w:t>
            </w:r>
          </w:p>
        </w:tc>
        <w:tc>
          <w:tcPr>
            <w:tcW w:w="58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等线" w:cs="Times New Roman"/>
                <w:b/>
                <w:bCs/>
                <w:i w:val="0"/>
                <w:color w:val="000000"/>
                <w:kern w:val="0"/>
                <w:sz w:val="22"/>
                <w:szCs w:val="22"/>
                <w:u w:val="none"/>
                <w:lang w:val="en-US" w:eastAsia="zh-CN" w:bidi="ar"/>
              </w:rPr>
              <w:t>902</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p>
        </w:tc>
        <w:tc>
          <w:tcPr>
            <w:tcW w:w="5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color w:val="000000"/>
                <w:sz w:val="20"/>
                <w:szCs w:val="20"/>
                <w:u w:val="none"/>
                <w:lang w:val="en-US"/>
              </w:rPr>
            </w:pPr>
            <w:r>
              <w:rPr>
                <w:rFonts w:hint="default" w:ascii="Times New Roman" w:hAnsi="Times New Roman" w:eastAsia="等线" w:cs="Times New Roman"/>
                <w:b/>
                <w:bCs/>
                <w:i w:val="0"/>
                <w:color w:val="000000"/>
                <w:kern w:val="0"/>
                <w:sz w:val="22"/>
                <w:szCs w:val="22"/>
                <w:u w:val="none"/>
                <w:lang w:val="en-US" w:eastAsia="zh-CN" w:bidi="ar"/>
              </w:rPr>
              <w:t>1018</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color w:val="000000"/>
                <w:sz w:val="20"/>
                <w:szCs w:val="20"/>
                <w:u w:val="none"/>
                <w:lang w:val="en-US"/>
              </w:rPr>
            </w:pPr>
            <w:r>
              <w:rPr>
                <w:rFonts w:hint="default" w:ascii="Times New Roman" w:hAnsi="Times New Roman" w:eastAsia="等线" w:cs="Times New Roman"/>
                <w:b/>
                <w:bCs/>
                <w:i w:val="0"/>
                <w:color w:val="000000"/>
                <w:kern w:val="0"/>
                <w:sz w:val="22"/>
                <w:szCs w:val="22"/>
                <w:u w:val="none"/>
                <w:lang w:val="en-US" w:eastAsia="zh-CN" w:bidi="ar"/>
              </w:rPr>
              <w:t>1018</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b/>
                <w:bCs/>
                <w:i w:val="0"/>
                <w:color w:val="000000"/>
                <w:sz w:val="20"/>
                <w:szCs w:val="20"/>
                <w:u w:val="none"/>
              </w:rPr>
            </w:pPr>
          </w:p>
        </w:tc>
        <w:tc>
          <w:tcPr>
            <w:tcW w:w="13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支出总计</w:t>
            </w:r>
          </w:p>
        </w:tc>
        <w:tc>
          <w:tcPr>
            <w:tcW w:w="5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color w:val="000000"/>
                <w:sz w:val="20"/>
                <w:szCs w:val="20"/>
                <w:u w:val="none"/>
                <w:lang w:val="en-US"/>
              </w:rPr>
            </w:pPr>
            <w:r>
              <w:rPr>
                <w:rFonts w:hint="default" w:ascii="Times New Roman" w:hAnsi="Times New Roman" w:eastAsia="等线" w:cs="Times New Roman"/>
                <w:b/>
                <w:bCs/>
                <w:i w:val="0"/>
                <w:color w:val="000000"/>
                <w:kern w:val="0"/>
                <w:sz w:val="22"/>
                <w:szCs w:val="22"/>
                <w:u w:val="none"/>
                <w:lang w:val="en-US" w:eastAsia="zh-CN" w:bidi="ar"/>
              </w:rPr>
              <w:t>902</w:t>
            </w:r>
          </w:p>
        </w:tc>
        <w:tc>
          <w:tcPr>
            <w:tcW w:w="6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等线" w:cs="Times New Roman"/>
                <w:b/>
                <w:bCs/>
                <w:i w:val="0"/>
                <w:color w:val="000000"/>
                <w:kern w:val="0"/>
                <w:sz w:val="22"/>
                <w:szCs w:val="22"/>
                <w:u w:val="none"/>
                <w:lang w:val="en-US" w:eastAsia="zh-CN" w:bidi="ar"/>
              </w:rPr>
              <w:t>902</w:t>
            </w:r>
          </w:p>
        </w:tc>
        <w:tc>
          <w:tcPr>
            <w:tcW w:w="4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color w:val="000000"/>
                <w:sz w:val="20"/>
                <w:szCs w:val="20"/>
                <w:u w:val="none"/>
                <w:lang w:val="en-US"/>
              </w:rPr>
            </w:pPr>
            <w:r>
              <w:rPr>
                <w:rFonts w:hint="default" w:ascii="Times New Roman" w:hAnsi="Times New Roman" w:eastAsia="等线" w:cs="Times New Roman"/>
                <w:b/>
                <w:bCs/>
                <w:i w:val="0"/>
                <w:color w:val="000000"/>
                <w:kern w:val="0"/>
                <w:sz w:val="22"/>
                <w:szCs w:val="22"/>
                <w:u w:val="none"/>
                <w:lang w:val="en-US" w:eastAsia="zh-CN" w:bidi="ar"/>
              </w:rPr>
              <w:t>1018</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color w:val="000000"/>
                <w:sz w:val="20"/>
                <w:szCs w:val="20"/>
                <w:u w:val="none"/>
                <w:lang w:val="en-US"/>
              </w:rPr>
            </w:pPr>
            <w:r>
              <w:rPr>
                <w:rFonts w:hint="default" w:ascii="Times New Roman" w:hAnsi="Times New Roman" w:eastAsia="等线" w:cs="Times New Roman"/>
                <w:b/>
                <w:bCs/>
                <w:i w:val="0"/>
                <w:color w:val="000000"/>
                <w:kern w:val="0"/>
                <w:sz w:val="22"/>
                <w:szCs w:val="22"/>
                <w:u w:val="none"/>
                <w:lang w:val="en-US" w:eastAsia="zh-CN" w:bidi="ar"/>
              </w:rPr>
              <w:t>1018</w:t>
            </w:r>
          </w:p>
        </w:tc>
        <w:tc>
          <w:tcPr>
            <w:tcW w:w="62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b/>
                <w:i w:val="0"/>
                <w:color w:val="000000"/>
                <w:sz w:val="20"/>
                <w:szCs w:val="20"/>
                <w:u w:val="none"/>
              </w:rPr>
            </w:pPr>
          </w:p>
        </w:tc>
      </w:tr>
    </w:tbl>
    <w:p>
      <w:pPr>
        <w:pStyle w:val="7"/>
        <w:rPr>
          <w:rFonts w:hint="default" w:ascii="Times New Roman" w:hAnsi="Times New Roman" w:eastAsia="楷体_GB2312" w:cs="Times New Roman"/>
          <w:b/>
          <w:bCs w:val="0"/>
          <w:kern w:val="0"/>
          <w:sz w:val="32"/>
          <w:szCs w:val="32"/>
          <w:highlight w:val="none"/>
          <w:lang w:val="en-US" w:eastAsia="zh-CN"/>
        </w:rPr>
      </w:pPr>
    </w:p>
    <w:p>
      <w:pPr>
        <w:pStyle w:val="7"/>
        <w:rPr>
          <w:rFonts w:hint="default" w:ascii="Times New Roman" w:hAnsi="Times New Roman" w:eastAsia="楷体_GB2312" w:cs="Times New Roman"/>
          <w:b/>
          <w:bCs w:val="0"/>
          <w:kern w:val="0"/>
          <w:sz w:val="32"/>
          <w:szCs w:val="32"/>
          <w:highlight w:val="none"/>
          <w:lang w:val="en-US" w:eastAsia="zh-CN"/>
        </w:rPr>
      </w:pPr>
    </w:p>
    <w:p>
      <w:pPr>
        <w:pStyle w:val="7"/>
        <w:rPr>
          <w:rFonts w:hint="default" w:ascii="Times New Roman" w:hAnsi="Times New Roman" w:eastAsia="楷体_GB2312" w:cs="Times New Roman"/>
          <w:b/>
          <w:bCs w:val="0"/>
          <w:kern w:val="0"/>
          <w:sz w:val="32"/>
          <w:szCs w:val="32"/>
          <w:highlight w:val="none"/>
          <w:lang w:val="en-US" w:eastAsia="zh-CN"/>
        </w:rPr>
      </w:pPr>
    </w:p>
    <w:p>
      <w:pPr>
        <w:pStyle w:val="7"/>
        <w:rPr>
          <w:rFonts w:hint="default" w:ascii="Times New Roman" w:hAnsi="Times New Roman" w:eastAsia="楷体_GB2312" w:cs="Times New Roman"/>
          <w:b/>
          <w:bCs w:val="0"/>
          <w:kern w:val="0"/>
          <w:sz w:val="32"/>
          <w:szCs w:val="32"/>
          <w:highlight w:val="none"/>
          <w:lang w:val="en-US" w:eastAsia="zh-CN"/>
        </w:rPr>
      </w:pPr>
    </w:p>
    <w:p>
      <w:pPr>
        <w:numPr>
          <w:ilvl w:val="0"/>
          <w:numId w:val="0"/>
        </w:numPr>
        <w:tabs>
          <w:tab w:val="left" w:pos="2148"/>
        </w:tabs>
        <w:spacing w:before="190" w:line="350" w:lineRule="auto"/>
        <w:ind w:leftChars="200" w:right="3265" w:rightChars="0"/>
        <w:jc w:val="both"/>
        <w:rPr>
          <w:rFonts w:hint="default" w:ascii="Times New Roman" w:hAnsi="Times New Roman" w:eastAsia="楷体_GB2312" w:cs="Times New Roman"/>
          <w:b/>
          <w:bCs w:val="0"/>
          <w:kern w:val="0"/>
          <w:sz w:val="32"/>
          <w:szCs w:val="32"/>
          <w:highlight w:val="none"/>
          <w:lang w:val="en-US" w:eastAsia="zh-Hans"/>
        </w:rPr>
      </w:pPr>
      <w:r>
        <w:rPr>
          <w:rFonts w:hint="eastAsia" w:eastAsia="楷体_GB2312" w:cs="Times New Roman"/>
          <w:b/>
          <w:bCs w:val="0"/>
          <w:kern w:val="0"/>
          <w:sz w:val="32"/>
          <w:szCs w:val="32"/>
          <w:highlight w:val="none"/>
          <w:lang w:val="en-US" w:eastAsia="zh-CN"/>
        </w:rPr>
        <w:t>三、</w:t>
      </w:r>
      <w:r>
        <w:rPr>
          <w:rFonts w:hint="default" w:ascii="Times New Roman" w:hAnsi="Times New Roman" w:eastAsia="楷体_GB2312" w:cs="Times New Roman"/>
          <w:b/>
          <w:bCs w:val="0"/>
          <w:kern w:val="0"/>
          <w:sz w:val="32"/>
          <w:szCs w:val="32"/>
          <w:highlight w:val="none"/>
          <w:lang w:val="en-US" w:eastAsia="zh-Hans"/>
        </w:rPr>
        <w:t>国有资本经营预算</w:t>
      </w:r>
      <w:r>
        <w:rPr>
          <w:rFonts w:hint="default" w:ascii="Times New Roman" w:hAnsi="Times New Roman" w:eastAsia="楷体_GB2312" w:cs="Times New Roman"/>
          <w:b/>
          <w:bCs w:val="0"/>
          <w:kern w:val="0"/>
          <w:sz w:val="32"/>
          <w:szCs w:val="32"/>
          <w:highlight w:val="none"/>
          <w:lang w:val="en-US" w:eastAsia="zh-CN"/>
        </w:rPr>
        <w:t>公开</w:t>
      </w:r>
      <w:r>
        <w:rPr>
          <w:rFonts w:hint="default" w:ascii="Times New Roman" w:hAnsi="Times New Roman" w:eastAsia="楷体_GB2312" w:cs="Times New Roman"/>
          <w:b/>
          <w:bCs w:val="0"/>
          <w:kern w:val="0"/>
          <w:sz w:val="32"/>
          <w:szCs w:val="32"/>
          <w:highlight w:val="none"/>
          <w:lang w:val="en-US" w:eastAsia="zh-Hans"/>
        </w:rPr>
        <w:t>表</w:t>
      </w:r>
    </w:p>
    <w:tbl>
      <w:tblPr>
        <w:tblStyle w:val="8"/>
        <w:tblpPr w:leftFromText="180" w:rightFromText="180" w:vertAnchor="text" w:horzAnchor="page" w:tblpXSpec="center" w:tblpY="396"/>
        <w:tblOverlap w:val="never"/>
        <w:tblW w:w="1045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151"/>
        <w:gridCol w:w="2557"/>
        <w:gridCol w:w="1074"/>
        <w:gridCol w:w="903"/>
        <w:gridCol w:w="1002"/>
        <w:gridCol w:w="1118"/>
        <w:gridCol w:w="894"/>
        <w:gridCol w:w="1069"/>
        <w:gridCol w:w="6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7" w:hRule="atLeast"/>
          <w:jc w:val="center"/>
        </w:trPr>
        <w:tc>
          <w:tcPr>
            <w:tcW w:w="1151" w:type="dxa"/>
            <w:noWrap w:val="0"/>
            <w:vAlign w:val="bottom"/>
          </w:tcPr>
          <w:p>
            <w:pPr>
              <w:keepNext w:val="0"/>
              <w:keepLines w:val="0"/>
              <w:widowControl/>
              <w:suppressLineNumbers w:val="0"/>
              <w:jc w:val="left"/>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表1</w:t>
            </w:r>
            <w:r>
              <w:rPr>
                <w:rFonts w:hint="default" w:ascii="Times New Roman" w:hAnsi="Times New Roman" w:cs="Times New Roman"/>
                <w:i w:val="0"/>
                <w:color w:val="000000"/>
                <w:kern w:val="0"/>
                <w:sz w:val="20"/>
                <w:szCs w:val="20"/>
                <w:u w:val="none"/>
                <w:lang w:eastAsia="zh-CN" w:bidi="ar"/>
              </w:rPr>
              <w:t>5</w:t>
            </w:r>
          </w:p>
        </w:tc>
        <w:tc>
          <w:tcPr>
            <w:tcW w:w="2557" w:type="dxa"/>
            <w:noWrap w:val="0"/>
            <w:vAlign w:val="center"/>
          </w:tcPr>
          <w:p>
            <w:pPr>
              <w:rPr>
                <w:rFonts w:hint="default" w:ascii="Times New Roman" w:hAnsi="Times New Roman" w:eastAsia="宋体" w:cs="Times New Roman"/>
                <w:i w:val="0"/>
                <w:color w:val="000000"/>
                <w:sz w:val="24"/>
                <w:szCs w:val="24"/>
                <w:u w:val="none"/>
              </w:rPr>
            </w:pPr>
          </w:p>
        </w:tc>
        <w:tc>
          <w:tcPr>
            <w:tcW w:w="1074" w:type="dxa"/>
            <w:noWrap w:val="0"/>
            <w:vAlign w:val="center"/>
          </w:tcPr>
          <w:p>
            <w:pPr>
              <w:rPr>
                <w:rFonts w:hint="default" w:ascii="Times New Roman" w:hAnsi="Times New Roman" w:eastAsia="宋体" w:cs="Times New Roman"/>
                <w:i w:val="0"/>
                <w:color w:val="000000"/>
                <w:sz w:val="24"/>
                <w:szCs w:val="24"/>
                <w:u w:val="none"/>
              </w:rPr>
            </w:pPr>
          </w:p>
        </w:tc>
        <w:tc>
          <w:tcPr>
            <w:tcW w:w="903" w:type="dxa"/>
            <w:noWrap w:val="0"/>
            <w:vAlign w:val="center"/>
          </w:tcPr>
          <w:p>
            <w:pPr>
              <w:rPr>
                <w:rFonts w:hint="default" w:ascii="Times New Roman" w:hAnsi="Times New Roman" w:eastAsia="宋体" w:cs="Times New Roman"/>
                <w:i w:val="0"/>
                <w:color w:val="000000"/>
                <w:sz w:val="24"/>
                <w:szCs w:val="24"/>
                <w:u w:val="none"/>
              </w:rPr>
            </w:pPr>
          </w:p>
        </w:tc>
        <w:tc>
          <w:tcPr>
            <w:tcW w:w="1002" w:type="dxa"/>
            <w:noWrap w:val="0"/>
            <w:vAlign w:val="center"/>
          </w:tcPr>
          <w:p>
            <w:pPr>
              <w:rPr>
                <w:rFonts w:hint="default" w:ascii="Times New Roman" w:hAnsi="Times New Roman" w:eastAsia="宋体" w:cs="Times New Roman"/>
                <w:i w:val="0"/>
                <w:color w:val="000000"/>
                <w:sz w:val="24"/>
                <w:szCs w:val="24"/>
                <w:u w:val="none"/>
              </w:rPr>
            </w:pPr>
          </w:p>
        </w:tc>
        <w:tc>
          <w:tcPr>
            <w:tcW w:w="1118" w:type="dxa"/>
            <w:noWrap w:val="0"/>
            <w:vAlign w:val="center"/>
          </w:tcPr>
          <w:p>
            <w:pPr>
              <w:rPr>
                <w:rFonts w:hint="default" w:ascii="Times New Roman" w:hAnsi="Times New Roman" w:eastAsia="宋体" w:cs="Times New Roman"/>
                <w:i w:val="0"/>
                <w:color w:val="000000"/>
                <w:sz w:val="24"/>
                <w:szCs w:val="24"/>
                <w:u w:val="none"/>
              </w:rPr>
            </w:pPr>
          </w:p>
        </w:tc>
        <w:tc>
          <w:tcPr>
            <w:tcW w:w="894" w:type="dxa"/>
            <w:noWrap w:val="0"/>
            <w:vAlign w:val="center"/>
          </w:tcPr>
          <w:p>
            <w:pPr>
              <w:rPr>
                <w:rFonts w:hint="default" w:ascii="Times New Roman" w:hAnsi="Times New Roman" w:eastAsia="宋体" w:cs="Times New Roman"/>
                <w:i w:val="0"/>
                <w:color w:val="000000"/>
                <w:sz w:val="24"/>
                <w:szCs w:val="24"/>
                <w:u w:val="none"/>
              </w:rPr>
            </w:pPr>
          </w:p>
        </w:tc>
        <w:tc>
          <w:tcPr>
            <w:tcW w:w="1069" w:type="dxa"/>
            <w:noWrap w:val="0"/>
            <w:vAlign w:val="center"/>
          </w:tcPr>
          <w:p>
            <w:pPr>
              <w:rPr>
                <w:rFonts w:hint="default" w:ascii="Times New Roman" w:hAnsi="Times New Roman" w:eastAsia="宋体" w:cs="Times New Roman"/>
                <w:i w:val="0"/>
                <w:color w:val="000000"/>
                <w:sz w:val="24"/>
                <w:szCs w:val="24"/>
                <w:u w:val="none"/>
              </w:rPr>
            </w:pPr>
          </w:p>
        </w:tc>
        <w:tc>
          <w:tcPr>
            <w:tcW w:w="687" w:type="dxa"/>
            <w:noWrap w:val="0"/>
            <w:vAlign w:val="center"/>
          </w:tcPr>
          <w:p>
            <w:pPr>
              <w:rPr>
                <w:rFonts w:hint="default" w:ascii="Times New Roman" w:hAnsi="Times New Roman" w:eastAsia="宋体" w:cs="Times New Roman"/>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09" w:hRule="atLeast"/>
          <w:jc w:val="center"/>
        </w:trPr>
        <w:tc>
          <w:tcPr>
            <w:tcW w:w="10455" w:type="dxa"/>
            <w:gridSpan w:val="9"/>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202</w:t>
            </w:r>
            <w:r>
              <w:rPr>
                <w:rFonts w:hint="default" w:ascii="Times New Roman" w:hAnsi="Times New Roman" w:cs="Times New Roman"/>
                <w:b/>
                <w:i w:val="0"/>
                <w:color w:val="000000"/>
                <w:kern w:val="0"/>
                <w:sz w:val="20"/>
                <w:szCs w:val="20"/>
                <w:u w:val="none"/>
                <w:lang w:val="en-US" w:eastAsia="zh-CN" w:bidi="ar"/>
              </w:rPr>
              <w:t>5</w:t>
            </w:r>
            <w:r>
              <w:rPr>
                <w:rFonts w:hint="default" w:ascii="Times New Roman" w:hAnsi="Times New Roman" w:eastAsia="宋体" w:cs="Times New Roman"/>
                <w:b/>
                <w:i w:val="0"/>
                <w:color w:val="000000"/>
                <w:kern w:val="0"/>
                <w:sz w:val="20"/>
                <w:szCs w:val="20"/>
                <w:u w:val="none"/>
                <w:lang w:val="en-US" w:eastAsia="zh-CN" w:bidi="ar"/>
              </w:rPr>
              <w:t>年</w:t>
            </w:r>
            <w:r>
              <w:rPr>
                <w:rFonts w:hint="default" w:ascii="Times New Roman" w:hAnsi="Times New Roman" w:cs="Times New Roman"/>
                <w:b/>
                <w:i w:val="0"/>
                <w:color w:val="000000"/>
                <w:kern w:val="0"/>
                <w:sz w:val="20"/>
                <w:szCs w:val="20"/>
                <w:u w:val="none"/>
                <w:lang w:val="en-US" w:eastAsia="zh-CN" w:bidi="ar"/>
              </w:rPr>
              <w:t>泽普县</w:t>
            </w:r>
            <w:r>
              <w:rPr>
                <w:rFonts w:hint="default" w:ascii="Times New Roman" w:hAnsi="Times New Roman" w:eastAsia="宋体" w:cs="Times New Roman"/>
                <w:b/>
                <w:i w:val="0"/>
                <w:color w:val="000000"/>
                <w:kern w:val="0"/>
                <w:sz w:val="20"/>
                <w:szCs w:val="20"/>
                <w:u w:val="none"/>
                <w:lang w:val="en-US" w:eastAsia="zh-CN" w:bidi="ar"/>
              </w:rPr>
              <w:t>国有资本经营预算收入表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15" w:hRule="atLeast"/>
          <w:jc w:val="center"/>
        </w:trPr>
        <w:tc>
          <w:tcPr>
            <w:tcW w:w="1151" w:type="dxa"/>
            <w:noWrap w:val="0"/>
            <w:vAlign w:val="center"/>
          </w:tcPr>
          <w:p>
            <w:pPr>
              <w:jc w:val="center"/>
              <w:rPr>
                <w:rFonts w:hint="default" w:ascii="Times New Roman" w:hAnsi="Times New Roman" w:eastAsia="宋体" w:cs="Times New Roman"/>
                <w:i w:val="0"/>
                <w:color w:val="000000"/>
                <w:sz w:val="20"/>
                <w:szCs w:val="20"/>
                <w:u w:val="none"/>
              </w:rPr>
            </w:pPr>
          </w:p>
        </w:tc>
        <w:tc>
          <w:tcPr>
            <w:tcW w:w="2557" w:type="dxa"/>
            <w:noWrap w:val="0"/>
            <w:vAlign w:val="center"/>
          </w:tcPr>
          <w:p>
            <w:pPr>
              <w:jc w:val="center"/>
              <w:rPr>
                <w:rFonts w:hint="default" w:ascii="Times New Roman" w:hAnsi="Times New Roman" w:eastAsia="宋体" w:cs="Times New Roman"/>
                <w:i w:val="0"/>
                <w:color w:val="000000"/>
                <w:sz w:val="20"/>
                <w:szCs w:val="20"/>
                <w:u w:val="none"/>
              </w:rPr>
            </w:pPr>
          </w:p>
        </w:tc>
        <w:tc>
          <w:tcPr>
            <w:tcW w:w="1074" w:type="dxa"/>
            <w:noWrap w:val="0"/>
            <w:vAlign w:val="center"/>
          </w:tcPr>
          <w:p>
            <w:pPr>
              <w:jc w:val="center"/>
              <w:rPr>
                <w:rFonts w:hint="default" w:ascii="Times New Roman" w:hAnsi="Times New Roman" w:eastAsia="宋体" w:cs="Times New Roman"/>
                <w:i w:val="0"/>
                <w:color w:val="000000"/>
                <w:sz w:val="20"/>
                <w:szCs w:val="20"/>
                <w:u w:val="none"/>
              </w:rPr>
            </w:pPr>
          </w:p>
        </w:tc>
        <w:tc>
          <w:tcPr>
            <w:tcW w:w="903" w:type="dxa"/>
            <w:noWrap w:val="0"/>
            <w:vAlign w:val="center"/>
          </w:tcPr>
          <w:p>
            <w:pPr>
              <w:jc w:val="center"/>
              <w:rPr>
                <w:rFonts w:hint="default" w:ascii="Times New Roman" w:hAnsi="Times New Roman" w:eastAsia="宋体" w:cs="Times New Roman"/>
                <w:i w:val="0"/>
                <w:color w:val="000000"/>
                <w:sz w:val="20"/>
                <w:szCs w:val="20"/>
                <w:u w:val="none"/>
              </w:rPr>
            </w:pPr>
          </w:p>
        </w:tc>
        <w:tc>
          <w:tcPr>
            <w:tcW w:w="1002" w:type="dxa"/>
            <w:noWrap w:val="0"/>
            <w:vAlign w:val="center"/>
          </w:tcPr>
          <w:p>
            <w:pPr>
              <w:jc w:val="center"/>
              <w:rPr>
                <w:rFonts w:hint="default" w:ascii="Times New Roman" w:hAnsi="Times New Roman" w:eastAsia="宋体" w:cs="Times New Roman"/>
                <w:i w:val="0"/>
                <w:color w:val="000000"/>
                <w:sz w:val="20"/>
                <w:szCs w:val="20"/>
                <w:u w:val="none"/>
              </w:rPr>
            </w:pPr>
          </w:p>
        </w:tc>
        <w:tc>
          <w:tcPr>
            <w:tcW w:w="1118" w:type="dxa"/>
            <w:noWrap w:val="0"/>
            <w:vAlign w:val="center"/>
          </w:tcPr>
          <w:p>
            <w:pPr>
              <w:rPr>
                <w:rFonts w:hint="default" w:ascii="Times New Roman" w:hAnsi="Times New Roman" w:eastAsia="宋体" w:cs="Times New Roman"/>
                <w:i w:val="0"/>
                <w:color w:val="000000"/>
                <w:sz w:val="24"/>
                <w:szCs w:val="24"/>
                <w:u w:val="none"/>
              </w:rPr>
            </w:pPr>
          </w:p>
        </w:tc>
        <w:tc>
          <w:tcPr>
            <w:tcW w:w="894" w:type="dxa"/>
            <w:noWrap w:val="0"/>
            <w:vAlign w:val="center"/>
          </w:tcPr>
          <w:p>
            <w:pPr>
              <w:rPr>
                <w:rFonts w:hint="default" w:ascii="Times New Roman" w:hAnsi="Times New Roman" w:eastAsia="宋体" w:cs="Times New Roman"/>
                <w:i w:val="0"/>
                <w:color w:val="000000"/>
                <w:sz w:val="24"/>
                <w:szCs w:val="24"/>
                <w:u w:val="none"/>
              </w:rPr>
            </w:pPr>
          </w:p>
        </w:tc>
        <w:tc>
          <w:tcPr>
            <w:tcW w:w="1756" w:type="dxa"/>
            <w:gridSpan w:val="2"/>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5" w:hRule="atLeast"/>
          <w:jc w:val="center"/>
        </w:trPr>
        <w:tc>
          <w:tcPr>
            <w:tcW w:w="115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科目编码</w:t>
            </w:r>
          </w:p>
        </w:tc>
        <w:tc>
          <w:tcPr>
            <w:tcW w:w="25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科目名称／企业</w:t>
            </w:r>
          </w:p>
        </w:tc>
        <w:tc>
          <w:tcPr>
            <w:tcW w:w="297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202</w:t>
            </w:r>
            <w:r>
              <w:rPr>
                <w:rFonts w:hint="default" w:ascii="Times New Roman" w:hAnsi="Times New Roman" w:cs="Times New Roman"/>
                <w:b/>
                <w:bCs/>
                <w:i w:val="0"/>
                <w:color w:val="000000"/>
                <w:kern w:val="0"/>
                <w:sz w:val="20"/>
                <w:szCs w:val="20"/>
                <w:u w:val="none"/>
                <w:lang w:val="en-US" w:eastAsia="zh-CN" w:bidi="ar"/>
              </w:rPr>
              <w:t>4</w:t>
            </w:r>
            <w:r>
              <w:rPr>
                <w:rFonts w:hint="default" w:ascii="Times New Roman" w:hAnsi="Times New Roman" w:eastAsia="宋体" w:cs="Times New Roman"/>
                <w:b/>
                <w:bCs/>
                <w:i w:val="0"/>
                <w:color w:val="000000"/>
                <w:kern w:val="0"/>
                <w:sz w:val="20"/>
                <w:szCs w:val="20"/>
                <w:u w:val="none"/>
                <w:lang w:val="en-US" w:eastAsia="zh-CN" w:bidi="ar"/>
              </w:rPr>
              <w:t>年</w:t>
            </w:r>
            <w:r>
              <w:rPr>
                <w:rFonts w:hint="default" w:ascii="Times New Roman" w:hAnsi="Times New Roman" w:eastAsia="宋体" w:cs="Times New Roman"/>
                <w:b/>
                <w:bCs/>
                <w:i w:val="0"/>
                <w:color w:val="000000"/>
                <w:kern w:val="0"/>
                <w:sz w:val="20"/>
                <w:szCs w:val="20"/>
                <w:u w:val="none"/>
                <w:lang w:val="en-US" w:eastAsia="zh-Hans" w:bidi="ar"/>
              </w:rPr>
              <w:t>完成</w:t>
            </w:r>
            <w:r>
              <w:rPr>
                <w:rFonts w:hint="default" w:ascii="Times New Roman" w:hAnsi="Times New Roman" w:eastAsia="宋体" w:cs="Times New Roman"/>
                <w:b/>
                <w:bCs/>
                <w:i w:val="0"/>
                <w:color w:val="000000"/>
                <w:kern w:val="0"/>
                <w:sz w:val="20"/>
                <w:szCs w:val="20"/>
                <w:u w:val="none"/>
                <w:lang w:val="en-US" w:eastAsia="zh-CN" w:bidi="ar"/>
              </w:rPr>
              <w:t>数</w:t>
            </w:r>
          </w:p>
        </w:tc>
        <w:tc>
          <w:tcPr>
            <w:tcW w:w="308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202</w:t>
            </w:r>
            <w:r>
              <w:rPr>
                <w:rFonts w:hint="default" w:ascii="Times New Roman" w:hAnsi="Times New Roman" w:cs="Times New Roman"/>
                <w:b/>
                <w:bCs/>
                <w:i w:val="0"/>
                <w:color w:val="000000"/>
                <w:kern w:val="0"/>
                <w:sz w:val="20"/>
                <w:szCs w:val="20"/>
                <w:u w:val="none"/>
                <w:lang w:val="en-US" w:eastAsia="zh-CN" w:bidi="ar"/>
              </w:rPr>
              <w:t>5</w:t>
            </w:r>
            <w:r>
              <w:rPr>
                <w:rFonts w:hint="default" w:ascii="Times New Roman" w:hAnsi="Times New Roman" w:eastAsia="宋体" w:cs="Times New Roman"/>
                <w:b/>
                <w:bCs/>
                <w:i w:val="0"/>
                <w:color w:val="000000"/>
                <w:kern w:val="0"/>
                <w:sz w:val="20"/>
                <w:szCs w:val="20"/>
                <w:u w:val="none"/>
                <w:lang w:val="en-US" w:eastAsia="zh-CN" w:bidi="ar"/>
              </w:rPr>
              <w:t>年预算数</w:t>
            </w:r>
          </w:p>
        </w:tc>
        <w:tc>
          <w:tcPr>
            <w:tcW w:w="68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0"/>
                <w:sz w:val="20"/>
                <w:szCs w:val="20"/>
                <w:u w:val="none"/>
                <w:lang w:val="en-US" w:eastAsia="zh-CN" w:bidi="ar"/>
              </w:rPr>
            </w:pPr>
            <w:r>
              <w:rPr>
                <w:rFonts w:hint="default" w:ascii="Times New Roman" w:hAnsi="Times New Roman" w:eastAsia="宋体" w:cs="Times New Roman"/>
                <w:b/>
                <w:bCs/>
                <w:i w:val="0"/>
                <w:color w:val="000000"/>
                <w:kern w:val="0"/>
                <w:sz w:val="20"/>
                <w:szCs w:val="20"/>
                <w:u w:val="none"/>
                <w:lang w:val="en-US" w:eastAsia="zh-CN" w:bidi="ar"/>
              </w:rPr>
              <w:t>预算数为上年</w:t>
            </w:r>
          </w:p>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Hans" w:bidi="ar"/>
              </w:rPr>
              <w:t>完成</w:t>
            </w:r>
            <w:r>
              <w:rPr>
                <w:rFonts w:hint="default" w:ascii="Times New Roman" w:hAnsi="Times New Roman" w:eastAsia="宋体" w:cs="Times New Roman"/>
                <w:b/>
                <w:bCs/>
                <w:i w:val="0"/>
                <w:color w:val="000000"/>
                <w:kern w:val="0"/>
                <w:sz w:val="20"/>
                <w:szCs w:val="20"/>
                <w:u w:val="none"/>
                <w:lang w:val="en-US" w:eastAsia="zh-CN" w:bidi="ar"/>
              </w:rPr>
              <w:t>数的%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78" w:hRule="atLeast"/>
          <w:jc w:val="center"/>
        </w:trPr>
        <w:tc>
          <w:tcPr>
            <w:tcW w:w="115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25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0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小计</w:t>
            </w:r>
          </w:p>
        </w:tc>
        <w:tc>
          <w:tcPr>
            <w:tcW w:w="9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cs="Times New Roman"/>
                <w:b/>
                <w:bCs/>
                <w:i w:val="0"/>
                <w:color w:val="000000"/>
                <w:kern w:val="0"/>
                <w:sz w:val="20"/>
                <w:szCs w:val="20"/>
                <w:u w:val="none"/>
                <w:lang w:eastAsia="zh-CN" w:bidi="ar"/>
              </w:rPr>
              <w:t>泽普县</w:t>
            </w:r>
            <w:r>
              <w:rPr>
                <w:rFonts w:hint="default" w:ascii="Times New Roman" w:hAnsi="Times New Roman" w:eastAsia="宋体" w:cs="Times New Roman"/>
                <w:b/>
                <w:bCs/>
                <w:i w:val="0"/>
                <w:color w:val="000000"/>
                <w:kern w:val="0"/>
                <w:sz w:val="20"/>
                <w:szCs w:val="20"/>
                <w:u w:val="none"/>
                <w:lang w:val="en-US" w:eastAsia="zh-CN" w:bidi="ar"/>
              </w:rPr>
              <w:t>本级</w:t>
            </w: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eastAsia="zh-CN" w:bidi="ar"/>
              </w:rPr>
            </w:pPr>
            <w:r>
              <w:rPr>
                <w:rFonts w:hint="default" w:ascii="Times New Roman" w:hAnsi="Times New Roman" w:eastAsia="宋体" w:cs="Times New Roman"/>
                <w:b/>
                <w:i w:val="0"/>
                <w:color w:val="000000"/>
                <w:kern w:val="0"/>
                <w:sz w:val="20"/>
                <w:szCs w:val="20"/>
                <w:u w:val="none"/>
                <w:lang w:val="en-US" w:eastAsia="zh-CN" w:bidi="ar"/>
              </w:rPr>
              <w:t>地市级</w:t>
            </w:r>
          </w:p>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以下</w:t>
            </w:r>
          </w:p>
        </w:tc>
        <w:tc>
          <w:tcPr>
            <w:tcW w:w="11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小计</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cs="Times New Roman"/>
                <w:b/>
                <w:bCs/>
                <w:i w:val="0"/>
                <w:color w:val="000000"/>
                <w:kern w:val="0"/>
                <w:sz w:val="20"/>
                <w:szCs w:val="20"/>
                <w:u w:val="none"/>
                <w:lang w:eastAsia="zh-CN" w:bidi="ar"/>
              </w:rPr>
              <w:t>泽普县</w:t>
            </w:r>
            <w:r>
              <w:rPr>
                <w:rFonts w:hint="default" w:ascii="Times New Roman" w:hAnsi="Times New Roman" w:eastAsia="宋体" w:cs="Times New Roman"/>
                <w:b/>
                <w:bCs/>
                <w:i w:val="0"/>
                <w:color w:val="000000"/>
                <w:kern w:val="0"/>
                <w:sz w:val="20"/>
                <w:szCs w:val="20"/>
                <w:u w:val="none"/>
                <w:lang w:val="en-US" w:eastAsia="zh-CN" w:bidi="ar"/>
              </w:rPr>
              <w:t>本级</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eastAsia="zh-CN" w:bidi="ar"/>
              </w:rPr>
            </w:pPr>
            <w:r>
              <w:rPr>
                <w:rFonts w:hint="default" w:ascii="Times New Roman" w:hAnsi="Times New Roman" w:eastAsia="宋体" w:cs="Times New Roman"/>
                <w:b/>
                <w:i w:val="0"/>
                <w:color w:val="000000"/>
                <w:kern w:val="0"/>
                <w:sz w:val="20"/>
                <w:szCs w:val="20"/>
                <w:u w:val="none"/>
                <w:lang w:val="en-US" w:eastAsia="zh-CN" w:bidi="ar"/>
              </w:rPr>
              <w:t>地市级</w:t>
            </w:r>
          </w:p>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以下</w:t>
            </w:r>
          </w:p>
        </w:tc>
        <w:tc>
          <w:tcPr>
            <w:tcW w:w="68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5" w:hRule="atLeast"/>
          <w:jc w:val="center"/>
        </w:trPr>
        <w:tc>
          <w:tcPr>
            <w:tcW w:w="11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1030601</w:t>
            </w:r>
          </w:p>
        </w:tc>
        <w:tc>
          <w:tcPr>
            <w:tcW w:w="2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一、利润收入</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902</w:t>
            </w:r>
          </w:p>
        </w:tc>
        <w:tc>
          <w:tcPr>
            <w:tcW w:w="90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902</w:t>
            </w: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1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1018</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1018</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12.86%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06" w:hRule="atLeast"/>
          <w:jc w:val="center"/>
        </w:trPr>
        <w:tc>
          <w:tcPr>
            <w:tcW w:w="11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103060198</w:t>
            </w:r>
          </w:p>
        </w:tc>
        <w:tc>
          <w:tcPr>
            <w:tcW w:w="2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其他国有资本经营预算企业利润收入</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903"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lang w:val="en-US" w:eastAsia="zh-CN"/>
              </w:rPr>
            </w:pP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118"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lang w:val="en-US" w:eastAsia="zh-CN"/>
              </w:rPr>
            </w:pPr>
          </w:p>
        </w:tc>
        <w:tc>
          <w:tcPr>
            <w:tcW w:w="1069"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50" w:hRule="atLeast"/>
          <w:jc w:val="center"/>
        </w:trPr>
        <w:tc>
          <w:tcPr>
            <w:tcW w:w="11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1030602</w:t>
            </w:r>
          </w:p>
        </w:tc>
        <w:tc>
          <w:tcPr>
            <w:tcW w:w="2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二、股利、股息收入</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90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11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069"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06" w:hRule="atLeast"/>
          <w:jc w:val="center"/>
        </w:trPr>
        <w:tc>
          <w:tcPr>
            <w:tcW w:w="115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103060202</w:t>
            </w:r>
          </w:p>
        </w:tc>
        <w:tc>
          <w:tcPr>
            <w:tcW w:w="255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国有控股公司股利、股息收入</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right"/>
              <w:rPr>
                <w:rFonts w:hint="default" w:ascii="Times New Roman" w:hAnsi="Times New Roman" w:eastAsia="宋体" w:cs="Times New Roman"/>
                <w:i w:val="0"/>
                <w:color w:val="000000"/>
                <w:sz w:val="20"/>
                <w:szCs w:val="20"/>
                <w:u w:val="none"/>
              </w:rPr>
            </w:pP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right"/>
              <w:rPr>
                <w:rFonts w:hint="default" w:ascii="Times New Roman" w:hAnsi="Times New Roman" w:eastAsia="宋体" w:cs="Times New Roman"/>
                <w:i w:val="0"/>
                <w:color w:val="000000"/>
                <w:sz w:val="20"/>
                <w:szCs w:val="20"/>
                <w:u w:val="none"/>
              </w:rPr>
            </w:pPr>
          </w:p>
        </w:tc>
        <w:tc>
          <w:tcPr>
            <w:tcW w:w="10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right"/>
              <w:rPr>
                <w:rFonts w:hint="default" w:ascii="Times New Roman" w:hAnsi="Times New Roman" w:eastAsia="宋体" w:cs="Times New Roman"/>
                <w:i w:val="0"/>
                <w:color w:val="000000"/>
                <w:sz w:val="20"/>
                <w:szCs w:val="20"/>
                <w:u w:val="none"/>
              </w:rPr>
            </w:pP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right"/>
              <w:rPr>
                <w:rFonts w:hint="default" w:ascii="Times New Roman" w:hAnsi="Times New Roman" w:eastAsia="宋体" w:cs="Times New Roman"/>
                <w:i w:val="0"/>
                <w:color w:val="000000"/>
                <w:sz w:val="20"/>
                <w:szCs w:val="20"/>
                <w:u w:val="none"/>
              </w:rPr>
            </w:pPr>
          </w:p>
        </w:tc>
        <w:tc>
          <w:tcPr>
            <w:tcW w:w="8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right"/>
              <w:rPr>
                <w:rFonts w:hint="default" w:ascii="Times New Roman" w:hAnsi="Times New Roman" w:eastAsia="宋体" w:cs="Times New Roman"/>
                <w:i w:val="0"/>
                <w:color w:val="000000"/>
                <w:sz w:val="20"/>
                <w:szCs w:val="20"/>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right"/>
              <w:rPr>
                <w:rFonts w:hint="default" w:ascii="Times New Roman" w:hAnsi="Times New Roman" w:eastAsia="宋体" w:cs="Times New Roman"/>
                <w:i w:val="0"/>
                <w:color w:val="000000"/>
                <w:sz w:val="20"/>
                <w:szCs w:val="20"/>
                <w:u w:val="none"/>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06" w:hRule="atLeast"/>
          <w:jc w:val="center"/>
        </w:trPr>
        <w:tc>
          <w:tcPr>
            <w:tcW w:w="115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103060203</w:t>
            </w:r>
          </w:p>
        </w:tc>
        <w:tc>
          <w:tcPr>
            <w:tcW w:w="255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国有参股公司股利、股息收入</w:t>
            </w:r>
          </w:p>
        </w:tc>
        <w:tc>
          <w:tcPr>
            <w:tcW w:w="107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right"/>
              <w:rPr>
                <w:rFonts w:hint="default" w:ascii="Times New Roman" w:hAnsi="Times New Roman" w:eastAsia="宋体" w:cs="Times New Roman"/>
                <w:i w:val="0"/>
                <w:color w:val="000000"/>
                <w:sz w:val="20"/>
                <w:szCs w:val="20"/>
                <w:u w:val="none"/>
              </w:rPr>
            </w:pP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right"/>
              <w:rPr>
                <w:rFonts w:hint="default" w:ascii="Times New Roman" w:hAnsi="Times New Roman" w:eastAsia="宋体" w:cs="Times New Roman"/>
                <w:i w:val="0"/>
                <w:color w:val="000000"/>
                <w:sz w:val="20"/>
                <w:szCs w:val="20"/>
                <w:u w:val="none"/>
              </w:rPr>
            </w:pPr>
          </w:p>
        </w:tc>
        <w:tc>
          <w:tcPr>
            <w:tcW w:w="10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right"/>
              <w:rPr>
                <w:rFonts w:hint="default" w:ascii="Times New Roman" w:hAnsi="Times New Roman" w:eastAsia="宋体" w:cs="Times New Roman"/>
                <w:i w:val="0"/>
                <w:color w:val="000000"/>
                <w:sz w:val="20"/>
                <w:szCs w:val="20"/>
                <w:u w:val="none"/>
              </w:rPr>
            </w:pP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right"/>
              <w:rPr>
                <w:rFonts w:hint="default" w:ascii="Times New Roman" w:hAnsi="Times New Roman" w:eastAsia="宋体" w:cs="Times New Roman"/>
                <w:i w:val="0"/>
                <w:color w:val="000000"/>
                <w:sz w:val="20"/>
                <w:szCs w:val="20"/>
                <w:u w:val="none"/>
              </w:rPr>
            </w:pPr>
          </w:p>
        </w:tc>
        <w:tc>
          <w:tcPr>
            <w:tcW w:w="8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right"/>
              <w:rPr>
                <w:rFonts w:hint="default" w:ascii="Times New Roman" w:hAnsi="Times New Roman" w:eastAsia="宋体" w:cs="Times New Roman"/>
                <w:i w:val="0"/>
                <w:color w:val="000000"/>
                <w:sz w:val="20"/>
                <w:szCs w:val="20"/>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right"/>
              <w:rPr>
                <w:rFonts w:hint="default" w:ascii="Times New Roman" w:hAnsi="Times New Roman" w:eastAsia="宋体" w:cs="Times New Roman"/>
                <w:i w:val="0"/>
                <w:color w:val="000000"/>
                <w:sz w:val="20"/>
                <w:szCs w:val="20"/>
                <w:u w:val="none"/>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50" w:hRule="atLeast"/>
          <w:jc w:val="center"/>
        </w:trPr>
        <w:tc>
          <w:tcPr>
            <w:tcW w:w="11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1030603</w:t>
            </w:r>
          </w:p>
        </w:tc>
        <w:tc>
          <w:tcPr>
            <w:tcW w:w="2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三、产权转让收入</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90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11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069"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35" w:hRule="atLeast"/>
          <w:jc w:val="center"/>
        </w:trPr>
        <w:tc>
          <w:tcPr>
            <w:tcW w:w="11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103060304</w:t>
            </w:r>
          </w:p>
        </w:tc>
        <w:tc>
          <w:tcPr>
            <w:tcW w:w="2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国有股权、股份转让收入</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903" w:type="dxa"/>
            <w:tcBorders>
              <w:top w:val="single" w:color="000000" w:sz="4" w:space="0"/>
              <w:left w:val="single" w:color="000000" w:sz="4" w:space="0"/>
              <w:bottom w:val="single" w:color="000000" w:sz="4" w:space="0"/>
              <w:right w:val="single" w:color="000000" w:sz="4" w:space="0"/>
            </w:tcBorders>
            <w:noWrap w:val="0"/>
            <w:vAlign w:val="bottom"/>
          </w:tcPr>
          <w:p>
            <w:pPr>
              <w:rPr>
                <w:rFonts w:hint="default" w:ascii="Times New Roman" w:hAnsi="Times New Roman" w:eastAsia="宋体" w:cs="Times New Roman"/>
                <w:i w:val="0"/>
                <w:color w:val="000000"/>
                <w:sz w:val="20"/>
                <w:szCs w:val="20"/>
                <w:u w:val="none"/>
              </w:rPr>
            </w:pP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11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069"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06" w:hRule="atLeast"/>
          <w:jc w:val="center"/>
        </w:trPr>
        <w:tc>
          <w:tcPr>
            <w:tcW w:w="11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103060305</w:t>
            </w:r>
          </w:p>
        </w:tc>
        <w:tc>
          <w:tcPr>
            <w:tcW w:w="2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国有独资企业产权转让收入</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90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11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069"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95" w:hRule="atLeast"/>
          <w:jc w:val="center"/>
        </w:trPr>
        <w:tc>
          <w:tcPr>
            <w:tcW w:w="11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1030604</w:t>
            </w:r>
          </w:p>
        </w:tc>
        <w:tc>
          <w:tcPr>
            <w:tcW w:w="2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四、清算收入</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90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11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069"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5" w:hRule="atLeast"/>
          <w:jc w:val="center"/>
        </w:trPr>
        <w:tc>
          <w:tcPr>
            <w:tcW w:w="11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103060401</w:t>
            </w:r>
          </w:p>
        </w:tc>
        <w:tc>
          <w:tcPr>
            <w:tcW w:w="2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国有股权、股份清算收入</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90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11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069"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50" w:hRule="atLeast"/>
          <w:jc w:val="center"/>
        </w:trPr>
        <w:tc>
          <w:tcPr>
            <w:tcW w:w="11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103060402</w:t>
            </w:r>
          </w:p>
        </w:tc>
        <w:tc>
          <w:tcPr>
            <w:tcW w:w="2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国有独资企业清算收入</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90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11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069"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06" w:hRule="atLeast"/>
          <w:jc w:val="center"/>
        </w:trPr>
        <w:tc>
          <w:tcPr>
            <w:tcW w:w="11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1030699</w:t>
            </w:r>
          </w:p>
        </w:tc>
        <w:tc>
          <w:tcPr>
            <w:tcW w:w="2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五、其他国有资本经营预算收入</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90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11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069"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5" w:hRule="atLeast"/>
          <w:jc w:val="center"/>
        </w:trPr>
        <w:tc>
          <w:tcPr>
            <w:tcW w:w="11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w:t>
            </w:r>
          </w:p>
        </w:tc>
        <w:tc>
          <w:tcPr>
            <w:tcW w:w="2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Chars="10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90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11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069"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7" w:hRule="atLeast"/>
          <w:jc w:val="center"/>
        </w:trPr>
        <w:tc>
          <w:tcPr>
            <w:tcW w:w="11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p>
        </w:tc>
        <w:tc>
          <w:tcPr>
            <w:tcW w:w="25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r>
              <w:rPr>
                <w:rFonts w:hint="default" w:ascii="Times New Roman" w:hAnsi="Times New Roman" w:cs="Times New Roman"/>
                <w:b/>
                <w:bCs/>
                <w:i w:val="0"/>
                <w:iCs w:val="0"/>
                <w:color w:val="000000"/>
                <w:kern w:val="0"/>
                <w:sz w:val="20"/>
                <w:szCs w:val="20"/>
                <w:u w:val="none"/>
                <w:lang w:val="en-US" w:eastAsia="zh-CN" w:bidi="ar"/>
              </w:rPr>
              <w:t>收入合计</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r>
              <w:rPr>
                <w:rFonts w:hint="default" w:ascii="Times New Roman" w:hAnsi="Times New Roman" w:cs="Times New Roman"/>
                <w:b/>
                <w:bCs/>
                <w:i w:val="0"/>
                <w:iCs w:val="0"/>
                <w:color w:val="000000"/>
                <w:kern w:val="0"/>
                <w:sz w:val="20"/>
                <w:szCs w:val="20"/>
                <w:u w:val="none"/>
                <w:lang w:val="en-US" w:eastAsia="zh-CN" w:bidi="ar"/>
              </w:rPr>
              <w:t>902</w:t>
            </w:r>
          </w:p>
        </w:tc>
        <w:tc>
          <w:tcPr>
            <w:tcW w:w="9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r>
              <w:rPr>
                <w:rFonts w:hint="default" w:ascii="Times New Roman" w:hAnsi="Times New Roman" w:cs="Times New Roman"/>
                <w:b/>
                <w:bCs/>
                <w:i w:val="0"/>
                <w:iCs w:val="0"/>
                <w:color w:val="000000"/>
                <w:kern w:val="0"/>
                <w:sz w:val="20"/>
                <w:szCs w:val="20"/>
                <w:u w:val="none"/>
                <w:lang w:val="en-US" w:eastAsia="zh-CN" w:bidi="ar"/>
              </w:rPr>
              <w:t>902</w:t>
            </w: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p>
        </w:tc>
        <w:tc>
          <w:tcPr>
            <w:tcW w:w="11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r>
              <w:rPr>
                <w:rFonts w:hint="default" w:ascii="Times New Roman" w:hAnsi="Times New Roman" w:cs="Times New Roman"/>
                <w:b/>
                <w:bCs/>
                <w:i w:val="0"/>
                <w:iCs w:val="0"/>
                <w:color w:val="000000"/>
                <w:kern w:val="0"/>
                <w:sz w:val="20"/>
                <w:szCs w:val="20"/>
                <w:u w:val="none"/>
                <w:lang w:val="en-US" w:eastAsia="zh-CN" w:bidi="ar"/>
              </w:rPr>
              <w:t>1018</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r>
              <w:rPr>
                <w:rFonts w:hint="default" w:ascii="Times New Roman" w:hAnsi="Times New Roman" w:cs="Times New Roman"/>
                <w:b/>
                <w:bCs/>
                <w:i w:val="0"/>
                <w:iCs w:val="0"/>
                <w:color w:val="000000"/>
                <w:kern w:val="0"/>
                <w:sz w:val="20"/>
                <w:szCs w:val="20"/>
                <w:u w:val="none"/>
                <w:lang w:val="en-US" w:eastAsia="zh-CN" w:bidi="ar"/>
              </w:rPr>
              <w:t>1018</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p>
        </w:tc>
        <w:tc>
          <w:tcPr>
            <w:tcW w:w="6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r>
              <w:rPr>
                <w:rFonts w:hint="default" w:ascii="Times New Roman" w:hAnsi="Times New Roman" w:cs="Times New Roman"/>
                <w:b/>
                <w:bCs/>
                <w:i w:val="0"/>
                <w:iCs w:val="0"/>
                <w:color w:val="000000"/>
                <w:kern w:val="0"/>
                <w:sz w:val="20"/>
                <w:szCs w:val="20"/>
                <w:u w:val="none"/>
                <w:lang w:val="en-US" w:eastAsia="zh-CN" w:bidi="ar"/>
              </w:rPr>
              <w:t>12.86%</w:t>
            </w:r>
          </w:p>
        </w:tc>
      </w:tr>
    </w:tbl>
    <w:p>
      <w:pPr>
        <w:keepNext w:val="0"/>
        <w:keepLines w:val="0"/>
        <w:widowControl/>
        <w:suppressLineNumbers w:val="0"/>
        <w:jc w:val="both"/>
        <w:textAlignment w:val="bottom"/>
        <w:rPr>
          <w:rFonts w:hint="default" w:ascii="Times New Roman" w:hAnsi="Times New Roman" w:cs="Times New Roman"/>
          <w:b/>
          <w:bCs/>
          <w:i w:val="0"/>
          <w:iCs w:val="0"/>
          <w:color w:val="000000"/>
          <w:kern w:val="0"/>
          <w:sz w:val="20"/>
          <w:szCs w:val="20"/>
          <w:u w:val="none"/>
          <w:lang w:val="en-US" w:eastAsia="zh-Hans" w:bidi="ar"/>
        </w:rPr>
      </w:pPr>
    </w:p>
    <w:p>
      <w:pPr>
        <w:pStyle w:val="7"/>
        <w:keepNext w:val="0"/>
        <w:keepLines w:val="0"/>
        <w:pageBreakBefore w:val="0"/>
        <w:widowControl w:val="0"/>
        <w:numPr>
          <w:ilvl w:val="0"/>
          <w:numId w:val="0"/>
        </w:numPr>
        <w:kinsoku/>
        <w:wordWrap/>
        <w:overflowPunct/>
        <w:topLinePunct w:val="0"/>
        <w:autoSpaceDE/>
        <w:autoSpaceDN/>
        <w:bidi w:val="0"/>
        <w:adjustRightInd/>
        <w:snapToGrid w:val="0"/>
        <w:spacing w:line="20" w:lineRule="exact"/>
        <w:textAlignment w:val="auto"/>
        <w:rPr>
          <w:rFonts w:hint="default" w:ascii="Times New Roman" w:hAnsi="Times New Roman" w:cs="Times New Roman"/>
          <w:lang w:val="en-US" w:eastAsia="zh-Hans"/>
        </w:rPr>
      </w:pPr>
    </w:p>
    <w:tbl>
      <w:tblPr>
        <w:tblStyle w:val="8"/>
        <w:tblpPr w:leftFromText="180" w:rightFromText="180" w:vertAnchor="text" w:horzAnchor="page" w:tblpX="592" w:tblpY="-12914"/>
        <w:tblOverlap w:val="never"/>
        <w:tblW w:w="1049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76"/>
        <w:gridCol w:w="1270"/>
        <w:gridCol w:w="517"/>
        <w:gridCol w:w="555"/>
        <w:gridCol w:w="485"/>
        <w:gridCol w:w="500"/>
        <w:gridCol w:w="435"/>
        <w:gridCol w:w="500"/>
        <w:gridCol w:w="468"/>
        <w:gridCol w:w="498"/>
        <w:gridCol w:w="501"/>
        <w:gridCol w:w="504"/>
        <w:gridCol w:w="543"/>
        <w:gridCol w:w="483"/>
        <w:gridCol w:w="455"/>
        <w:gridCol w:w="461"/>
        <w:gridCol w:w="445"/>
        <w:gridCol w:w="518"/>
        <w:gridCol w:w="5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9" w:hRule="atLeast"/>
        </w:trPr>
        <w:tc>
          <w:tcPr>
            <w:tcW w:w="776" w:type="dxa"/>
            <w:noWrap w:val="0"/>
            <w:vAlign w:val="bottom"/>
          </w:tcPr>
          <w:p>
            <w:pPr>
              <w:pStyle w:val="2"/>
              <w:ind w:left="0" w:leftChars="0" w:firstLine="0" w:firstLineChars="0"/>
              <w:rPr>
                <w:rFonts w:hint="default" w:ascii="Times New Roman" w:hAnsi="Times New Roman" w:cs="Times New Roman"/>
              </w:rPr>
            </w:pPr>
            <w:r>
              <w:rPr>
                <w:rFonts w:hint="default" w:ascii="Times New Roman" w:hAnsi="Times New Roman" w:cs="Times New Roman"/>
                <w:lang w:val="en-US" w:eastAsia="zh-CN"/>
              </w:rPr>
              <w:t>表1</w:t>
            </w:r>
            <w:r>
              <w:rPr>
                <w:rFonts w:hint="default" w:ascii="Times New Roman" w:hAnsi="Times New Roman" w:cs="Times New Roman"/>
                <w:lang w:eastAsia="zh-CN"/>
              </w:rPr>
              <w:t>6</w:t>
            </w:r>
          </w:p>
        </w:tc>
        <w:tc>
          <w:tcPr>
            <w:tcW w:w="1270" w:type="dxa"/>
            <w:noWrap w:val="0"/>
            <w:vAlign w:val="center"/>
          </w:tcPr>
          <w:p>
            <w:pPr>
              <w:rPr>
                <w:rFonts w:hint="default" w:ascii="Times New Roman" w:hAnsi="Times New Roman" w:eastAsia="宋体" w:cs="Times New Roman"/>
                <w:i w:val="0"/>
                <w:color w:val="000000"/>
                <w:sz w:val="24"/>
                <w:szCs w:val="24"/>
                <w:u w:val="none"/>
              </w:rPr>
            </w:pPr>
          </w:p>
        </w:tc>
        <w:tc>
          <w:tcPr>
            <w:tcW w:w="517" w:type="dxa"/>
            <w:noWrap w:val="0"/>
            <w:vAlign w:val="center"/>
          </w:tcPr>
          <w:p>
            <w:pPr>
              <w:rPr>
                <w:rFonts w:hint="default" w:ascii="Times New Roman" w:hAnsi="Times New Roman" w:eastAsia="宋体" w:cs="Times New Roman"/>
                <w:i w:val="0"/>
                <w:color w:val="000000"/>
                <w:sz w:val="24"/>
                <w:szCs w:val="24"/>
                <w:u w:val="none"/>
              </w:rPr>
            </w:pPr>
          </w:p>
        </w:tc>
        <w:tc>
          <w:tcPr>
            <w:tcW w:w="555" w:type="dxa"/>
            <w:noWrap w:val="0"/>
            <w:vAlign w:val="center"/>
          </w:tcPr>
          <w:p>
            <w:pPr>
              <w:rPr>
                <w:rFonts w:hint="default" w:ascii="Times New Roman" w:hAnsi="Times New Roman" w:eastAsia="宋体" w:cs="Times New Roman"/>
                <w:i w:val="0"/>
                <w:color w:val="000000"/>
                <w:sz w:val="24"/>
                <w:szCs w:val="24"/>
                <w:u w:val="none"/>
              </w:rPr>
            </w:pPr>
          </w:p>
        </w:tc>
        <w:tc>
          <w:tcPr>
            <w:tcW w:w="485" w:type="dxa"/>
            <w:noWrap w:val="0"/>
            <w:vAlign w:val="center"/>
          </w:tcPr>
          <w:p>
            <w:pPr>
              <w:rPr>
                <w:rFonts w:hint="default" w:ascii="Times New Roman" w:hAnsi="Times New Roman" w:eastAsia="宋体" w:cs="Times New Roman"/>
                <w:i w:val="0"/>
                <w:color w:val="000000"/>
                <w:sz w:val="24"/>
                <w:szCs w:val="24"/>
                <w:u w:val="none"/>
              </w:rPr>
            </w:pPr>
          </w:p>
        </w:tc>
        <w:tc>
          <w:tcPr>
            <w:tcW w:w="500" w:type="dxa"/>
            <w:noWrap w:val="0"/>
            <w:vAlign w:val="center"/>
          </w:tcPr>
          <w:p>
            <w:pPr>
              <w:rPr>
                <w:rFonts w:hint="default" w:ascii="Times New Roman" w:hAnsi="Times New Roman" w:eastAsia="宋体" w:cs="Times New Roman"/>
                <w:i w:val="0"/>
                <w:color w:val="000000"/>
                <w:sz w:val="24"/>
                <w:szCs w:val="24"/>
                <w:u w:val="none"/>
              </w:rPr>
            </w:pPr>
          </w:p>
        </w:tc>
        <w:tc>
          <w:tcPr>
            <w:tcW w:w="435" w:type="dxa"/>
            <w:noWrap w:val="0"/>
            <w:vAlign w:val="center"/>
          </w:tcPr>
          <w:p>
            <w:pPr>
              <w:rPr>
                <w:rFonts w:hint="default" w:ascii="Times New Roman" w:hAnsi="Times New Roman" w:eastAsia="宋体" w:cs="Times New Roman"/>
                <w:i w:val="0"/>
                <w:color w:val="000000"/>
                <w:sz w:val="24"/>
                <w:szCs w:val="24"/>
                <w:u w:val="none"/>
              </w:rPr>
            </w:pPr>
          </w:p>
        </w:tc>
        <w:tc>
          <w:tcPr>
            <w:tcW w:w="500" w:type="dxa"/>
            <w:noWrap w:val="0"/>
            <w:vAlign w:val="center"/>
          </w:tcPr>
          <w:p>
            <w:pPr>
              <w:rPr>
                <w:rFonts w:hint="default" w:ascii="Times New Roman" w:hAnsi="Times New Roman" w:eastAsia="宋体" w:cs="Times New Roman"/>
                <w:i w:val="0"/>
                <w:color w:val="000000"/>
                <w:sz w:val="24"/>
                <w:szCs w:val="24"/>
                <w:u w:val="none"/>
              </w:rPr>
            </w:pPr>
          </w:p>
        </w:tc>
        <w:tc>
          <w:tcPr>
            <w:tcW w:w="468" w:type="dxa"/>
            <w:noWrap w:val="0"/>
            <w:vAlign w:val="center"/>
          </w:tcPr>
          <w:p>
            <w:pPr>
              <w:rPr>
                <w:rFonts w:hint="default" w:ascii="Times New Roman" w:hAnsi="Times New Roman" w:eastAsia="宋体" w:cs="Times New Roman"/>
                <w:i w:val="0"/>
                <w:color w:val="000000"/>
                <w:sz w:val="24"/>
                <w:szCs w:val="24"/>
                <w:u w:val="none"/>
              </w:rPr>
            </w:pPr>
          </w:p>
        </w:tc>
        <w:tc>
          <w:tcPr>
            <w:tcW w:w="498" w:type="dxa"/>
            <w:noWrap w:val="0"/>
            <w:vAlign w:val="center"/>
          </w:tcPr>
          <w:p>
            <w:pPr>
              <w:rPr>
                <w:rFonts w:hint="default" w:ascii="Times New Roman" w:hAnsi="Times New Roman" w:eastAsia="宋体" w:cs="Times New Roman"/>
                <w:i w:val="0"/>
                <w:color w:val="000000"/>
                <w:sz w:val="24"/>
                <w:szCs w:val="24"/>
                <w:u w:val="none"/>
              </w:rPr>
            </w:pPr>
          </w:p>
        </w:tc>
        <w:tc>
          <w:tcPr>
            <w:tcW w:w="501" w:type="dxa"/>
            <w:noWrap w:val="0"/>
            <w:vAlign w:val="center"/>
          </w:tcPr>
          <w:p>
            <w:pPr>
              <w:rPr>
                <w:rFonts w:hint="default" w:ascii="Times New Roman" w:hAnsi="Times New Roman" w:eastAsia="宋体" w:cs="Times New Roman"/>
                <w:i w:val="0"/>
                <w:color w:val="000000"/>
                <w:sz w:val="24"/>
                <w:szCs w:val="24"/>
                <w:u w:val="none"/>
              </w:rPr>
            </w:pPr>
          </w:p>
        </w:tc>
        <w:tc>
          <w:tcPr>
            <w:tcW w:w="504" w:type="dxa"/>
            <w:noWrap w:val="0"/>
            <w:vAlign w:val="center"/>
          </w:tcPr>
          <w:p>
            <w:pPr>
              <w:rPr>
                <w:rFonts w:hint="default" w:ascii="Times New Roman" w:hAnsi="Times New Roman" w:eastAsia="宋体" w:cs="Times New Roman"/>
                <w:i w:val="0"/>
                <w:color w:val="000000"/>
                <w:sz w:val="24"/>
                <w:szCs w:val="24"/>
                <w:u w:val="none"/>
              </w:rPr>
            </w:pPr>
          </w:p>
        </w:tc>
        <w:tc>
          <w:tcPr>
            <w:tcW w:w="543" w:type="dxa"/>
            <w:noWrap w:val="0"/>
            <w:vAlign w:val="center"/>
          </w:tcPr>
          <w:p>
            <w:pPr>
              <w:rPr>
                <w:rFonts w:hint="default" w:ascii="Times New Roman" w:hAnsi="Times New Roman" w:eastAsia="宋体" w:cs="Times New Roman"/>
                <w:i w:val="0"/>
                <w:color w:val="000000"/>
                <w:sz w:val="24"/>
                <w:szCs w:val="24"/>
                <w:u w:val="none"/>
              </w:rPr>
            </w:pPr>
          </w:p>
        </w:tc>
        <w:tc>
          <w:tcPr>
            <w:tcW w:w="483" w:type="dxa"/>
            <w:noWrap w:val="0"/>
            <w:vAlign w:val="center"/>
          </w:tcPr>
          <w:p>
            <w:pPr>
              <w:rPr>
                <w:rFonts w:hint="default" w:ascii="Times New Roman" w:hAnsi="Times New Roman" w:eastAsia="宋体" w:cs="Times New Roman"/>
                <w:i w:val="0"/>
                <w:color w:val="000000"/>
                <w:sz w:val="24"/>
                <w:szCs w:val="24"/>
                <w:u w:val="none"/>
              </w:rPr>
            </w:pPr>
          </w:p>
        </w:tc>
        <w:tc>
          <w:tcPr>
            <w:tcW w:w="455" w:type="dxa"/>
            <w:noWrap w:val="0"/>
            <w:vAlign w:val="center"/>
          </w:tcPr>
          <w:p>
            <w:pPr>
              <w:rPr>
                <w:rFonts w:hint="default" w:ascii="Times New Roman" w:hAnsi="Times New Roman" w:eastAsia="宋体" w:cs="Times New Roman"/>
                <w:i w:val="0"/>
                <w:color w:val="000000"/>
                <w:sz w:val="24"/>
                <w:szCs w:val="24"/>
                <w:u w:val="none"/>
              </w:rPr>
            </w:pPr>
          </w:p>
        </w:tc>
        <w:tc>
          <w:tcPr>
            <w:tcW w:w="461" w:type="dxa"/>
            <w:noWrap w:val="0"/>
            <w:vAlign w:val="center"/>
          </w:tcPr>
          <w:p>
            <w:pPr>
              <w:rPr>
                <w:rFonts w:hint="default" w:ascii="Times New Roman" w:hAnsi="Times New Roman" w:eastAsia="宋体" w:cs="Times New Roman"/>
                <w:i w:val="0"/>
                <w:color w:val="000000"/>
                <w:sz w:val="24"/>
                <w:szCs w:val="24"/>
                <w:u w:val="none"/>
              </w:rPr>
            </w:pPr>
          </w:p>
        </w:tc>
        <w:tc>
          <w:tcPr>
            <w:tcW w:w="445" w:type="dxa"/>
            <w:noWrap w:val="0"/>
            <w:vAlign w:val="center"/>
          </w:tcPr>
          <w:p>
            <w:pPr>
              <w:rPr>
                <w:rFonts w:hint="default" w:ascii="Times New Roman" w:hAnsi="Times New Roman" w:eastAsia="宋体" w:cs="Times New Roman"/>
                <w:i w:val="0"/>
                <w:color w:val="000000"/>
                <w:sz w:val="24"/>
                <w:szCs w:val="24"/>
                <w:u w:val="none"/>
              </w:rPr>
            </w:pPr>
          </w:p>
        </w:tc>
        <w:tc>
          <w:tcPr>
            <w:tcW w:w="518" w:type="dxa"/>
            <w:noWrap w:val="0"/>
            <w:vAlign w:val="center"/>
          </w:tcPr>
          <w:p>
            <w:pPr>
              <w:rPr>
                <w:rFonts w:hint="default" w:ascii="Times New Roman" w:hAnsi="Times New Roman" w:eastAsia="宋体" w:cs="Times New Roman"/>
                <w:i w:val="0"/>
                <w:color w:val="000000"/>
                <w:sz w:val="24"/>
                <w:szCs w:val="24"/>
                <w:u w:val="none"/>
              </w:rPr>
            </w:pPr>
          </w:p>
        </w:tc>
        <w:tc>
          <w:tcPr>
            <w:tcW w:w="578" w:type="dxa"/>
            <w:noWrap w:val="0"/>
            <w:vAlign w:val="center"/>
          </w:tcPr>
          <w:p>
            <w:pPr>
              <w:rPr>
                <w:rFonts w:hint="default" w:ascii="Times New Roman" w:hAnsi="Times New Roman" w:eastAsia="宋体" w:cs="Times New Roman"/>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8" w:hRule="atLeast"/>
        </w:trPr>
        <w:tc>
          <w:tcPr>
            <w:tcW w:w="10492" w:type="dxa"/>
            <w:gridSpan w:val="19"/>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val="en-US" w:eastAsia="zh-CN" w:bidi="ar"/>
              </w:rPr>
            </w:pPr>
            <w:r>
              <w:rPr>
                <w:rFonts w:hint="default" w:ascii="Times New Roman" w:hAnsi="Times New Roman" w:eastAsia="宋体" w:cs="Times New Roman"/>
                <w:b/>
                <w:i w:val="0"/>
                <w:color w:val="000000"/>
                <w:kern w:val="0"/>
                <w:sz w:val="20"/>
                <w:szCs w:val="20"/>
                <w:u w:val="none"/>
                <w:lang w:val="en-US" w:eastAsia="zh-CN" w:bidi="ar"/>
              </w:rPr>
              <w:t>202</w:t>
            </w:r>
            <w:r>
              <w:rPr>
                <w:rFonts w:hint="default" w:ascii="Times New Roman" w:hAnsi="Times New Roman" w:cs="Times New Roman"/>
                <w:b/>
                <w:i w:val="0"/>
                <w:color w:val="000000"/>
                <w:kern w:val="0"/>
                <w:sz w:val="20"/>
                <w:szCs w:val="20"/>
                <w:u w:val="none"/>
                <w:lang w:val="en-US" w:eastAsia="zh-CN" w:bidi="ar"/>
              </w:rPr>
              <w:t>5</w:t>
            </w:r>
            <w:r>
              <w:rPr>
                <w:rFonts w:hint="default" w:ascii="Times New Roman" w:hAnsi="Times New Roman" w:eastAsia="宋体" w:cs="Times New Roman"/>
                <w:b/>
                <w:i w:val="0"/>
                <w:color w:val="000000"/>
                <w:kern w:val="0"/>
                <w:sz w:val="20"/>
                <w:szCs w:val="20"/>
                <w:u w:val="none"/>
                <w:lang w:val="en-US" w:eastAsia="zh-CN" w:bidi="ar"/>
              </w:rPr>
              <w:t>年</w:t>
            </w:r>
            <w:r>
              <w:rPr>
                <w:rFonts w:hint="default" w:ascii="Times New Roman" w:hAnsi="Times New Roman" w:cs="Times New Roman"/>
                <w:b/>
                <w:i w:val="0"/>
                <w:color w:val="000000"/>
                <w:kern w:val="0"/>
                <w:sz w:val="20"/>
                <w:szCs w:val="20"/>
                <w:u w:val="none"/>
                <w:lang w:val="en-US" w:eastAsia="zh-CN" w:bidi="ar"/>
              </w:rPr>
              <w:t>泽普县</w:t>
            </w:r>
            <w:r>
              <w:rPr>
                <w:rFonts w:hint="default" w:ascii="Times New Roman" w:hAnsi="Times New Roman" w:eastAsia="宋体" w:cs="Times New Roman"/>
                <w:b/>
                <w:i w:val="0"/>
                <w:color w:val="000000"/>
                <w:kern w:val="0"/>
                <w:sz w:val="20"/>
                <w:szCs w:val="20"/>
                <w:u w:val="none"/>
                <w:lang w:val="en-US" w:eastAsia="zh-CN" w:bidi="ar"/>
              </w:rPr>
              <w:t>国有资本经营预算支出表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8" w:hRule="atLeast"/>
        </w:trPr>
        <w:tc>
          <w:tcPr>
            <w:tcW w:w="776" w:type="dxa"/>
            <w:noWrap w:val="0"/>
            <w:vAlign w:val="center"/>
          </w:tcPr>
          <w:p>
            <w:pPr>
              <w:jc w:val="center"/>
              <w:rPr>
                <w:rFonts w:hint="default" w:ascii="Times New Roman" w:hAnsi="Times New Roman" w:eastAsia="宋体" w:cs="Times New Roman"/>
                <w:i w:val="0"/>
                <w:color w:val="000000"/>
                <w:sz w:val="20"/>
                <w:szCs w:val="20"/>
                <w:u w:val="none"/>
              </w:rPr>
            </w:pPr>
          </w:p>
        </w:tc>
        <w:tc>
          <w:tcPr>
            <w:tcW w:w="1270" w:type="dxa"/>
            <w:noWrap w:val="0"/>
            <w:vAlign w:val="center"/>
          </w:tcPr>
          <w:p>
            <w:pPr>
              <w:jc w:val="center"/>
              <w:rPr>
                <w:rFonts w:hint="default" w:ascii="Times New Roman" w:hAnsi="Times New Roman" w:eastAsia="宋体" w:cs="Times New Roman"/>
                <w:i w:val="0"/>
                <w:color w:val="000000"/>
                <w:sz w:val="20"/>
                <w:szCs w:val="20"/>
                <w:u w:val="none"/>
              </w:rPr>
            </w:pPr>
          </w:p>
        </w:tc>
        <w:tc>
          <w:tcPr>
            <w:tcW w:w="517" w:type="dxa"/>
            <w:noWrap w:val="0"/>
            <w:vAlign w:val="bottom"/>
          </w:tcPr>
          <w:p>
            <w:pPr>
              <w:rPr>
                <w:rFonts w:hint="default" w:ascii="Times New Roman" w:hAnsi="Times New Roman" w:eastAsia="宋体" w:cs="Times New Roman"/>
                <w:i w:val="0"/>
                <w:color w:val="000000"/>
                <w:sz w:val="20"/>
                <w:szCs w:val="20"/>
                <w:u w:val="none"/>
              </w:rPr>
            </w:pPr>
          </w:p>
        </w:tc>
        <w:tc>
          <w:tcPr>
            <w:tcW w:w="555" w:type="dxa"/>
            <w:noWrap w:val="0"/>
            <w:vAlign w:val="bottom"/>
          </w:tcPr>
          <w:p>
            <w:pPr>
              <w:rPr>
                <w:rFonts w:hint="default" w:ascii="Times New Roman" w:hAnsi="Times New Roman" w:eastAsia="宋体" w:cs="Times New Roman"/>
                <w:i w:val="0"/>
                <w:color w:val="000000"/>
                <w:sz w:val="20"/>
                <w:szCs w:val="20"/>
                <w:u w:val="none"/>
              </w:rPr>
            </w:pPr>
          </w:p>
        </w:tc>
        <w:tc>
          <w:tcPr>
            <w:tcW w:w="485" w:type="dxa"/>
            <w:noWrap w:val="0"/>
            <w:vAlign w:val="bottom"/>
          </w:tcPr>
          <w:p>
            <w:pPr>
              <w:rPr>
                <w:rFonts w:hint="default" w:ascii="Times New Roman" w:hAnsi="Times New Roman" w:eastAsia="宋体" w:cs="Times New Roman"/>
                <w:i w:val="0"/>
                <w:color w:val="000000"/>
                <w:sz w:val="20"/>
                <w:szCs w:val="20"/>
                <w:u w:val="none"/>
              </w:rPr>
            </w:pPr>
          </w:p>
        </w:tc>
        <w:tc>
          <w:tcPr>
            <w:tcW w:w="500" w:type="dxa"/>
            <w:noWrap w:val="0"/>
            <w:vAlign w:val="bottom"/>
          </w:tcPr>
          <w:p>
            <w:pPr>
              <w:rPr>
                <w:rFonts w:hint="default" w:ascii="Times New Roman" w:hAnsi="Times New Roman" w:eastAsia="宋体" w:cs="Times New Roman"/>
                <w:i w:val="0"/>
                <w:color w:val="000000"/>
                <w:sz w:val="20"/>
                <w:szCs w:val="20"/>
                <w:u w:val="none"/>
              </w:rPr>
            </w:pPr>
          </w:p>
        </w:tc>
        <w:tc>
          <w:tcPr>
            <w:tcW w:w="435" w:type="dxa"/>
            <w:noWrap w:val="0"/>
            <w:vAlign w:val="bottom"/>
          </w:tcPr>
          <w:p>
            <w:pPr>
              <w:rPr>
                <w:rFonts w:hint="default" w:ascii="Times New Roman" w:hAnsi="Times New Roman" w:eastAsia="宋体" w:cs="Times New Roman"/>
                <w:i w:val="0"/>
                <w:color w:val="000000"/>
                <w:sz w:val="20"/>
                <w:szCs w:val="20"/>
                <w:u w:val="none"/>
              </w:rPr>
            </w:pPr>
          </w:p>
        </w:tc>
        <w:tc>
          <w:tcPr>
            <w:tcW w:w="500" w:type="dxa"/>
            <w:noWrap w:val="0"/>
            <w:vAlign w:val="bottom"/>
          </w:tcPr>
          <w:p>
            <w:pPr>
              <w:rPr>
                <w:rFonts w:hint="default" w:ascii="Times New Roman" w:hAnsi="Times New Roman" w:eastAsia="宋体" w:cs="Times New Roman"/>
                <w:i w:val="0"/>
                <w:color w:val="000000"/>
                <w:sz w:val="20"/>
                <w:szCs w:val="20"/>
                <w:u w:val="none"/>
              </w:rPr>
            </w:pPr>
          </w:p>
        </w:tc>
        <w:tc>
          <w:tcPr>
            <w:tcW w:w="468" w:type="dxa"/>
            <w:noWrap w:val="0"/>
            <w:vAlign w:val="bottom"/>
          </w:tcPr>
          <w:p>
            <w:pPr>
              <w:rPr>
                <w:rFonts w:hint="default" w:ascii="Times New Roman" w:hAnsi="Times New Roman" w:eastAsia="宋体" w:cs="Times New Roman"/>
                <w:i w:val="0"/>
                <w:color w:val="000000"/>
                <w:sz w:val="20"/>
                <w:szCs w:val="20"/>
                <w:u w:val="none"/>
              </w:rPr>
            </w:pPr>
          </w:p>
        </w:tc>
        <w:tc>
          <w:tcPr>
            <w:tcW w:w="498" w:type="dxa"/>
            <w:noWrap w:val="0"/>
            <w:vAlign w:val="bottom"/>
          </w:tcPr>
          <w:p>
            <w:pPr>
              <w:rPr>
                <w:rFonts w:hint="default" w:ascii="Times New Roman" w:hAnsi="Times New Roman" w:eastAsia="宋体" w:cs="Times New Roman"/>
                <w:i w:val="0"/>
                <w:color w:val="000000"/>
                <w:sz w:val="20"/>
                <w:szCs w:val="20"/>
                <w:u w:val="none"/>
              </w:rPr>
            </w:pPr>
          </w:p>
        </w:tc>
        <w:tc>
          <w:tcPr>
            <w:tcW w:w="501" w:type="dxa"/>
            <w:noWrap w:val="0"/>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0"/>
                <w:szCs w:val="20"/>
                <w:u w:val="none"/>
              </w:rPr>
            </w:pPr>
          </w:p>
        </w:tc>
        <w:tc>
          <w:tcPr>
            <w:tcW w:w="504"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kern w:val="0"/>
                <w:sz w:val="20"/>
                <w:szCs w:val="20"/>
                <w:u w:val="none"/>
                <w:lang w:val="en-US" w:eastAsia="zh-CN" w:bidi="ar"/>
              </w:rPr>
            </w:pPr>
          </w:p>
        </w:tc>
        <w:tc>
          <w:tcPr>
            <w:tcW w:w="543"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kern w:val="0"/>
                <w:sz w:val="20"/>
                <w:szCs w:val="20"/>
                <w:u w:val="none"/>
                <w:lang w:val="en-US" w:eastAsia="zh-CN" w:bidi="ar"/>
              </w:rPr>
            </w:pPr>
          </w:p>
        </w:tc>
        <w:tc>
          <w:tcPr>
            <w:tcW w:w="483"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kern w:val="0"/>
                <w:sz w:val="20"/>
                <w:szCs w:val="20"/>
                <w:u w:val="none"/>
                <w:lang w:val="en-US" w:eastAsia="zh-CN" w:bidi="ar"/>
              </w:rPr>
            </w:pPr>
          </w:p>
        </w:tc>
        <w:tc>
          <w:tcPr>
            <w:tcW w:w="455"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kern w:val="0"/>
                <w:sz w:val="20"/>
                <w:szCs w:val="20"/>
                <w:u w:val="none"/>
                <w:lang w:val="en-US" w:eastAsia="zh-CN" w:bidi="ar"/>
              </w:rPr>
            </w:pPr>
          </w:p>
        </w:tc>
        <w:tc>
          <w:tcPr>
            <w:tcW w:w="461"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kern w:val="0"/>
                <w:sz w:val="20"/>
                <w:szCs w:val="20"/>
                <w:u w:val="none"/>
                <w:lang w:val="en-US" w:eastAsia="zh-CN" w:bidi="ar"/>
              </w:rPr>
            </w:pPr>
          </w:p>
        </w:tc>
        <w:tc>
          <w:tcPr>
            <w:tcW w:w="445"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kern w:val="0"/>
                <w:sz w:val="20"/>
                <w:szCs w:val="20"/>
                <w:u w:val="none"/>
                <w:lang w:val="en-US" w:eastAsia="zh-CN" w:bidi="ar"/>
              </w:rPr>
            </w:pPr>
          </w:p>
        </w:tc>
        <w:tc>
          <w:tcPr>
            <w:tcW w:w="1096" w:type="dxa"/>
            <w:gridSpan w:val="2"/>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19" w:hRule="atLeast"/>
        </w:trPr>
        <w:tc>
          <w:tcPr>
            <w:tcW w:w="77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科目编码</w:t>
            </w:r>
          </w:p>
        </w:tc>
        <w:tc>
          <w:tcPr>
            <w:tcW w:w="127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科目名称</w:t>
            </w:r>
          </w:p>
        </w:tc>
        <w:tc>
          <w:tcPr>
            <w:tcW w:w="4459"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CN" w:bidi="ar"/>
              </w:rPr>
              <w:t>202</w:t>
            </w:r>
            <w:r>
              <w:rPr>
                <w:rFonts w:hint="default" w:ascii="Times New Roman" w:hAnsi="Times New Roman" w:cs="Times New Roman"/>
                <w:b/>
                <w:bCs/>
                <w:i w:val="0"/>
                <w:color w:val="000000"/>
                <w:kern w:val="0"/>
                <w:sz w:val="20"/>
                <w:szCs w:val="20"/>
                <w:u w:val="none"/>
                <w:lang w:val="en-US" w:eastAsia="zh-CN" w:bidi="ar"/>
              </w:rPr>
              <w:t>4</w:t>
            </w:r>
            <w:r>
              <w:rPr>
                <w:rFonts w:hint="default" w:ascii="Times New Roman" w:hAnsi="Times New Roman" w:eastAsia="宋体" w:cs="Times New Roman"/>
                <w:b/>
                <w:bCs/>
                <w:i w:val="0"/>
                <w:color w:val="000000"/>
                <w:kern w:val="0"/>
                <w:sz w:val="20"/>
                <w:szCs w:val="20"/>
                <w:u w:val="none"/>
                <w:lang w:val="en-US" w:eastAsia="zh-CN" w:bidi="ar"/>
              </w:rPr>
              <w:t>年完成数</w:t>
            </w:r>
          </w:p>
        </w:tc>
        <w:tc>
          <w:tcPr>
            <w:tcW w:w="3987"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0"/>
                <w:sz w:val="20"/>
                <w:szCs w:val="20"/>
                <w:u w:val="none"/>
                <w:lang w:val="en-US" w:eastAsia="zh-CN" w:bidi="ar"/>
              </w:rPr>
            </w:pPr>
            <w:r>
              <w:rPr>
                <w:rFonts w:hint="default" w:ascii="Times New Roman" w:hAnsi="Times New Roman" w:eastAsia="宋体" w:cs="Times New Roman"/>
                <w:b/>
                <w:bCs/>
                <w:i w:val="0"/>
                <w:color w:val="000000"/>
                <w:kern w:val="0"/>
                <w:sz w:val="20"/>
                <w:szCs w:val="20"/>
                <w:u w:val="none"/>
                <w:lang w:val="en-US" w:eastAsia="zh-CN" w:bidi="ar"/>
              </w:rPr>
              <w:t>202</w:t>
            </w:r>
            <w:r>
              <w:rPr>
                <w:rFonts w:hint="default" w:ascii="Times New Roman" w:hAnsi="Times New Roman" w:cs="Times New Roman"/>
                <w:b/>
                <w:bCs/>
                <w:i w:val="0"/>
                <w:color w:val="000000"/>
                <w:kern w:val="0"/>
                <w:sz w:val="20"/>
                <w:szCs w:val="20"/>
                <w:u w:val="none"/>
                <w:lang w:val="en-US" w:eastAsia="zh-CN" w:bidi="ar"/>
              </w:rPr>
              <w:t>5</w:t>
            </w:r>
            <w:r>
              <w:rPr>
                <w:rFonts w:hint="default" w:ascii="Times New Roman" w:hAnsi="Times New Roman" w:eastAsia="宋体" w:cs="Times New Roman"/>
                <w:b/>
                <w:bCs/>
                <w:i w:val="0"/>
                <w:color w:val="000000"/>
                <w:kern w:val="0"/>
                <w:sz w:val="20"/>
                <w:szCs w:val="20"/>
                <w:u w:val="none"/>
                <w:lang w:val="en-US" w:eastAsia="zh-CN" w:bidi="ar"/>
              </w:rPr>
              <w:t>年预算数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56" w:hRule="atLeast"/>
        </w:trPr>
        <w:tc>
          <w:tcPr>
            <w:tcW w:w="7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color w:val="000000"/>
                <w:sz w:val="20"/>
                <w:szCs w:val="20"/>
                <w:u w:val="none"/>
              </w:rPr>
            </w:pPr>
          </w:p>
        </w:tc>
        <w:tc>
          <w:tcPr>
            <w:tcW w:w="127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color w:val="000000"/>
                <w:sz w:val="20"/>
                <w:szCs w:val="20"/>
                <w:u w:val="none"/>
              </w:rPr>
            </w:pPr>
          </w:p>
        </w:tc>
        <w:tc>
          <w:tcPr>
            <w:tcW w:w="51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CN" w:bidi="ar"/>
              </w:rPr>
              <w:t>合计</w:t>
            </w:r>
          </w:p>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p>
        </w:tc>
        <w:tc>
          <w:tcPr>
            <w:tcW w:w="104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CN" w:bidi="ar"/>
              </w:rPr>
              <w:t>小计</w:t>
            </w:r>
          </w:p>
        </w:tc>
        <w:tc>
          <w:tcPr>
            <w:tcW w:w="93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CN" w:bidi="ar"/>
              </w:rPr>
              <w:t>资本性支出</w:t>
            </w:r>
          </w:p>
        </w:tc>
        <w:tc>
          <w:tcPr>
            <w:tcW w:w="96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CN" w:bidi="ar"/>
              </w:rPr>
              <w:t xml:space="preserve">费用性支出 </w:t>
            </w:r>
          </w:p>
        </w:tc>
        <w:tc>
          <w:tcPr>
            <w:tcW w:w="99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CN" w:bidi="ar"/>
              </w:rPr>
              <w:t>其他支出</w:t>
            </w:r>
          </w:p>
        </w:tc>
        <w:tc>
          <w:tcPr>
            <w:tcW w:w="104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CN" w:bidi="ar"/>
              </w:rPr>
              <w:t>小计</w:t>
            </w:r>
          </w:p>
        </w:tc>
        <w:tc>
          <w:tcPr>
            <w:tcW w:w="93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CN" w:bidi="ar"/>
              </w:rPr>
              <w:t>资本性支出</w:t>
            </w:r>
          </w:p>
        </w:tc>
        <w:tc>
          <w:tcPr>
            <w:tcW w:w="90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CN" w:bidi="ar"/>
              </w:rPr>
              <w:t xml:space="preserve">费用性支出 </w:t>
            </w:r>
          </w:p>
        </w:tc>
        <w:tc>
          <w:tcPr>
            <w:tcW w:w="109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CN" w:bidi="ar"/>
              </w:rPr>
              <w:t>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389" w:hRule="atLeast"/>
        </w:trPr>
        <w:tc>
          <w:tcPr>
            <w:tcW w:w="7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color w:val="000000"/>
                <w:sz w:val="20"/>
                <w:szCs w:val="20"/>
                <w:u w:val="none"/>
              </w:rPr>
            </w:pPr>
          </w:p>
        </w:tc>
        <w:tc>
          <w:tcPr>
            <w:tcW w:w="127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color w:val="000000"/>
                <w:sz w:val="20"/>
                <w:szCs w:val="20"/>
                <w:u w:val="none"/>
              </w:rPr>
            </w:pPr>
          </w:p>
        </w:tc>
        <w:tc>
          <w:tcPr>
            <w:tcW w:w="51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color w:val="000000"/>
                <w:sz w:val="20"/>
                <w:szCs w:val="20"/>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cs="Times New Roman"/>
                <w:b/>
                <w:bCs/>
                <w:i w:val="0"/>
                <w:color w:val="000000"/>
                <w:kern w:val="0"/>
                <w:sz w:val="20"/>
                <w:szCs w:val="20"/>
                <w:u w:val="none"/>
                <w:lang w:eastAsia="zh-CN" w:bidi="ar"/>
              </w:rPr>
              <w:t>泽普县</w:t>
            </w:r>
            <w:r>
              <w:rPr>
                <w:rFonts w:hint="default" w:ascii="Times New Roman" w:hAnsi="Times New Roman" w:eastAsia="宋体" w:cs="Times New Roman"/>
                <w:b/>
                <w:bCs/>
                <w:i w:val="0"/>
                <w:color w:val="000000"/>
                <w:kern w:val="0"/>
                <w:sz w:val="20"/>
                <w:szCs w:val="20"/>
                <w:u w:val="none"/>
                <w:lang w:val="en-US" w:eastAsia="zh-CN" w:bidi="ar"/>
              </w:rPr>
              <w:t>本级</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eastAsia="zh-CN" w:bidi="ar"/>
              </w:rPr>
            </w:pPr>
            <w:r>
              <w:rPr>
                <w:rFonts w:hint="default" w:ascii="Times New Roman" w:hAnsi="Times New Roman" w:eastAsia="宋体" w:cs="Times New Roman"/>
                <w:b/>
                <w:i w:val="0"/>
                <w:color w:val="000000"/>
                <w:kern w:val="0"/>
                <w:sz w:val="20"/>
                <w:szCs w:val="20"/>
                <w:u w:val="none"/>
                <w:lang w:val="en-US" w:eastAsia="zh-CN" w:bidi="ar"/>
              </w:rPr>
              <w:t>地市级</w:t>
            </w:r>
          </w:p>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i w:val="0"/>
                <w:color w:val="000000"/>
                <w:kern w:val="0"/>
                <w:sz w:val="20"/>
                <w:szCs w:val="20"/>
                <w:u w:val="none"/>
                <w:lang w:val="en-US" w:eastAsia="zh-CN" w:bidi="ar"/>
              </w:rPr>
              <w:t>以下</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cs="Times New Roman"/>
                <w:b/>
                <w:bCs/>
                <w:i w:val="0"/>
                <w:color w:val="000000"/>
                <w:kern w:val="0"/>
                <w:sz w:val="20"/>
                <w:szCs w:val="20"/>
                <w:u w:val="none"/>
                <w:lang w:eastAsia="zh-CN" w:bidi="ar"/>
              </w:rPr>
              <w:t>泽普县</w:t>
            </w:r>
            <w:r>
              <w:rPr>
                <w:rFonts w:hint="default" w:ascii="Times New Roman" w:hAnsi="Times New Roman" w:eastAsia="宋体" w:cs="Times New Roman"/>
                <w:b/>
                <w:bCs/>
                <w:i w:val="0"/>
                <w:color w:val="000000"/>
                <w:kern w:val="0"/>
                <w:sz w:val="20"/>
                <w:szCs w:val="20"/>
                <w:u w:val="none"/>
                <w:lang w:val="en-US" w:eastAsia="zh-CN" w:bidi="ar"/>
              </w:rPr>
              <w:t>本级</w:t>
            </w:r>
          </w:p>
        </w:tc>
        <w:tc>
          <w:tcPr>
            <w:tcW w:w="4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eastAsia="zh-CN" w:bidi="ar"/>
              </w:rPr>
            </w:pPr>
            <w:r>
              <w:rPr>
                <w:rFonts w:hint="default" w:ascii="Times New Roman" w:hAnsi="Times New Roman" w:eastAsia="宋体" w:cs="Times New Roman"/>
                <w:b/>
                <w:i w:val="0"/>
                <w:color w:val="000000"/>
                <w:kern w:val="0"/>
                <w:sz w:val="20"/>
                <w:szCs w:val="20"/>
                <w:u w:val="none"/>
                <w:lang w:val="en-US" w:eastAsia="zh-CN" w:bidi="ar"/>
              </w:rPr>
              <w:t>地市级</w:t>
            </w:r>
          </w:p>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i w:val="0"/>
                <w:color w:val="000000"/>
                <w:kern w:val="0"/>
                <w:sz w:val="20"/>
                <w:szCs w:val="20"/>
                <w:u w:val="none"/>
                <w:lang w:val="en-US" w:eastAsia="zh-CN" w:bidi="ar"/>
              </w:rPr>
              <w:t>以下</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cs="Times New Roman"/>
                <w:b/>
                <w:bCs/>
                <w:i w:val="0"/>
                <w:color w:val="000000"/>
                <w:kern w:val="0"/>
                <w:sz w:val="20"/>
                <w:szCs w:val="20"/>
                <w:u w:val="none"/>
                <w:lang w:eastAsia="zh-CN" w:bidi="ar"/>
              </w:rPr>
              <w:t>泽普县</w:t>
            </w:r>
            <w:r>
              <w:rPr>
                <w:rFonts w:hint="default" w:ascii="Times New Roman" w:hAnsi="Times New Roman" w:eastAsia="宋体" w:cs="Times New Roman"/>
                <w:b/>
                <w:bCs/>
                <w:i w:val="0"/>
                <w:color w:val="000000"/>
                <w:kern w:val="0"/>
                <w:sz w:val="20"/>
                <w:szCs w:val="20"/>
                <w:u w:val="none"/>
                <w:lang w:val="en-US" w:eastAsia="zh-CN" w:bidi="ar"/>
              </w:rPr>
              <w:t>本级</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eastAsia="zh-CN" w:bidi="ar"/>
              </w:rPr>
            </w:pPr>
            <w:r>
              <w:rPr>
                <w:rFonts w:hint="default" w:ascii="Times New Roman" w:hAnsi="Times New Roman" w:eastAsia="宋体" w:cs="Times New Roman"/>
                <w:b/>
                <w:i w:val="0"/>
                <w:color w:val="000000"/>
                <w:kern w:val="0"/>
                <w:sz w:val="20"/>
                <w:szCs w:val="20"/>
                <w:u w:val="none"/>
                <w:lang w:val="en-US" w:eastAsia="zh-CN" w:bidi="ar"/>
              </w:rPr>
              <w:t>地市级</w:t>
            </w:r>
          </w:p>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i w:val="0"/>
                <w:color w:val="000000"/>
                <w:kern w:val="0"/>
                <w:sz w:val="20"/>
                <w:szCs w:val="20"/>
                <w:u w:val="none"/>
                <w:lang w:val="en-US" w:eastAsia="zh-CN" w:bidi="ar"/>
              </w:rPr>
              <w:t>以下</w:t>
            </w:r>
          </w:p>
        </w:tc>
        <w:tc>
          <w:tcPr>
            <w:tcW w:w="4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cs="Times New Roman"/>
                <w:b/>
                <w:bCs/>
                <w:i w:val="0"/>
                <w:color w:val="000000"/>
                <w:kern w:val="0"/>
                <w:sz w:val="20"/>
                <w:szCs w:val="20"/>
                <w:u w:val="none"/>
                <w:lang w:eastAsia="zh-CN" w:bidi="ar"/>
              </w:rPr>
              <w:t>泽普县</w:t>
            </w:r>
            <w:r>
              <w:rPr>
                <w:rFonts w:hint="default" w:ascii="Times New Roman" w:hAnsi="Times New Roman" w:eastAsia="宋体" w:cs="Times New Roman"/>
                <w:b/>
                <w:bCs/>
                <w:i w:val="0"/>
                <w:color w:val="000000"/>
                <w:kern w:val="0"/>
                <w:sz w:val="20"/>
                <w:szCs w:val="20"/>
                <w:u w:val="none"/>
                <w:lang w:val="en-US" w:eastAsia="zh-CN" w:bidi="ar"/>
              </w:rPr>
              <w:t>本级</w:t>
            </w:r>
          </w:p>
        </w:tc>
        <w:tc>
          <w:tcPr>
            <w:tcW w:w="5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eastAsia="zh-CN" w:bidi="ar"/>
              </w:rPr>
            </w:pPr>
            <w:r>
              <w:rPr>
                <w:rFonts w:hint="default" w:ascii="Times New Roman" w:hAnsi="Times New Roman" w:eastAsia="宋体" w:cs="Times New Roman"/>
                <w:b/>
                <w:i w:val="0"/>
                <w:color w:val="000000"/>
                <w:kern w:val="0"/>
                <w:sz w:val="20"/>
                <w:szCs w:val="20"/>
                <w:u w:val="none"/>
                <w:lang w:val="en-US" w:eastAsia="zh-CN" w:bidi="ar"/>
              </w:rPr>
              <w:t>地市级</w:t>
            </w:r>
          </w:p>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i w:val="0"/>
                <w:color w:val="000000"/>
                <w:kern w:val="0"/>
                <w:sz w:val="20"/>
                <w:szCs w:val="20"/>
                <w:u w:val="none"/>
                <w:lang w:val="en-US" w:eastAsia="zh-CN" w:bidi="ar"/>
              </w:rPr>
              <w:t>以下</w:t>
            </w:r>
          </w:p>
        </w:tc>
        <w:tc>
          <w:tcPr>
            <w:tcW w:w="5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cs="Times New Roman"/>
                <w:b/>
                <w:bCs/>
                <w:i w:val="0"/>
                <w:color w:val="000000"/>
                <w:kern w:val="0"/>
                <w:sz w:val="20"/>
                <w:szCs w:val="20"/>
                <w:u w:val="none"/>
                <w:lang w:eastAsia="zh-CN" w:bidi="ar"/>
              </w:rPr>
              <w:t>泽普县</w:t>
            </w:r>
            <w:r>
              <w:rPr>
                <w:rFonts w:hint="default" w:ascii="Times New Roman" w:hAnsi="Times New Roman" w:eastAsia="宋体" w:cs="Times New Roman"/>
                <w:b/>
                <w:bCs/>
                <w:i w:val="0"/>
                <w:color w:val="000000"/>
                <w:kern w:val="0"/>
                <w:sz w:val="20"/>
                <w:szCs w:val="20"/>
                <w:u w:val="none"/>
                <w:lang w:val="en-US" w:eastAsia="zh-CN" w:bidi="ar"/>
              </w:rPr>
              <w:t>本级</w:t>
            </w:r>
          </w:p>
        </w:tc>
        <w:tc>
          <w:tcPr>
            <w:tcW w:w="5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eastAsia="zh-CN" w:bidi="ar"/>
              </w:rPr>
            </w:pPr>
            <w:r>
              <w:rPr>
                <w:rFonts w:hint="default" w:ascii="Times New Roman" w:hAnsi="Times New Roman" w:eastAsia="宋体" w:cs="Times New Roman"/>
                <w:b/>
                <w:i w:val="0"/>
                <w:color w:val="000000"/>
                <w:kern w:val="0"/>
                <w:sz w:val="20"/>
                <w:szCs w:val="20"/>
                <w:u w:val="none"/>
                <w:lang w:val="en-US" w:eastAsia="zh-CN" w:bidi="ar"/>
              </w:rPr>
              <w:t>地市级</w:t>
            </w:r>
          </w:p>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i w:val="0"/>
                <w:color w:val="000000"/>
                <w:kern w:val="0"/>
                <w:sz w:val="20"/>
                <w:szCs w:val="20"/>
                <w:u w:val="none"/>
                <w:lang w:val="en-US" w:eastAsia="zh-CN" w:bidi="ar"/>
              </w:rPr>
              <w:t>以下</w:t>
            </w:r>
          </w:p>
        </w:tc>
        <w:tc>
          <w:tcPr>
            <w:tcW w:w="48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cs="Times New Roman"/>
                <w:b/>
                <w:bCs/>
                <w:i w:val="0"/>
                <w:color w:val="000000"/>
                <w:kern w:val="0"/>
                <w:sz w:val="20"/>
                <w:szCs w:val="20"/>
                <w:u w:val="none"/>
                <w:lang w:eastAsia="zh-CN" w:bidi="ar"/>
              </w:rPr>
              <w:t>泽普县</w:t>
            </w:r>
            <w:r>
              <w:rPr>
                <w:rFonts w:hint="default" w:ascii="Times New Roman" w:hAnsi="Times New Roman" w:eastAsia="宋体" w:cs="Times New Roman"/>
                <w:b/>
                <w:bCs/>
                <w:i w:val="0"/>
                <w:color w:val="000000"/>
                <w:kern w:val="0"/>
                <w:sz w:val="20"/>
                <w:szCs w:val="20"/>
                <w:u w:val="none"/>
                <w:lang w:val="en-US" w:eastAsia="zh-CN" w:bidi="ar"/>
              </w:rPr>
              <w:t>本级</w:t>
            </w:r>
          </w:p>
        </w:tc>
        <w:tc>
          <w:tcPr>
            <w:tcW w:w="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eastAsia="zh-CN" w:bidi="ar"/>
              </w:rPr>
            </w:pPr>
            <w:r>
              <w:rPr>
                <w:rFonts w:hint="default" w:ascii="Times New Roman" w:hAnsi="Times New Roman" w:eastAsia="宋体" w:cs="Times New Roman"/>
                <w:b/>
                <w:i w:val="0"/>
                <w:color w:val="000000"/>
                <w:kern w:val="0"/>
                <w:sz w:val="20"/>
                <w:szCs w:val="20"/>
                <w:u w:val="none"/>
                <w:lang w:val="en-US" w:eastAsia="zh-CN" w:bidi="ar"/>
              </w:rPr>
              <w:t>地市级</w:t>
            </w:r>
          </w:p>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i w:val="0"/>
                <w:color w:val="000000"/>
                <w:kern w:val="0"/>
                <w:sz w:val="20"/>
                <w:szCs w:val="20"/>
                <w:u w:val="none"/>
                <w:lang w:val="en-US" w:eastAsia="zh-CN" w:bidi="ar"/>
              </w:rPr>
              <w:t>以下</w:t>
            </w:r>
          </w:p>
        </w:tc>
        <w:tc>
          <w:tcPr>
            <w:tcW w:w="4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cs="Times New Roman"/>
                <w:b/>
                <w:bCs/>
                <w:i w:val="0"/>
                <w:color w:val="000000"/>
                <w:kern w:val="0"/>
                <w:sz w:val="20"/>
                <w:szCs w:val="20"/>
                <w:u w:val="none"/>
                <w:lang w:eastAsia="zh-CN" w:bidi="ar"/>
              </w:rPr>
              <w:t>泽普县</w:t>
            </w:r>
            <w:r>
              <w:rPr>
                <w:rFonts w:hint="default" w:ascii="Times New Roman" w:hAnsi="Times New Roman" w:eastAsia="宋体" w:cs="Times New Roman"/>
                <w:b/>
                <w:bCs/>
                <w:i w:val="0"/>
                <w:color w:val="000000"/>
                <w:kern w:val="0"/>
                <w:sz w:val="20"/>
                <w:szCs w:val="20"/>
                <w:u w:val="none"/>
                <w:lang w:val="en-US" w:eastAsia="zh-CN" w:bidi="ar"/>
              </w:rPr>
              <w:t>本级</w:t>
            </w:r>
          </w:p>
        </w:tc>
        <w:tc>
          <w:tcPr>
            <w:tcW w:w="4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eastAsia="zh-CN" w:bidi="ar"/>
              </w:rPr>
            </w:pPr>
            <w:r>
              <w:rPr>
                <w:rFonts w:hint="default" w:ascii="Times New Roman" w:hAnsi="Times New Roman" w:eastAsia="宋体" w:cs="Times New Roman"/>
                <w:b/>
                <w:i w:val="0"/>
                <w:color w:val="000000"/>
                <w:kern w:val="0"/>
                <w:sz w:val="20"/>
                <w:szCs w:val="20"/>
                <w:u w:val="none"/>
                <w:lang w:val="en-US" w:eastAsia="zh-CN" w:bidi="ar"/>
              </w:rPr>
              <w:t>地市级</w:t>
            </w:r>
          </w:p>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i w:val="0"/>
                <w:color w:val="000000"/>
                <w:kern w:val="0"/>
                <w:sz w:val="20"/>
                <w:szCs w:val="20"/>
                <w:u w:val="none"/>
                <w:lang w:val="en-US" w:eastAsia="zh-CN" w:bidi="ar"/>
              </w:rPr>
              <w:t>以下</w:t>
            </w:r>
          </w:p>
        </w:tc>
        <w:tc>
          <w:tcPr>
            <w:tcW w:w="5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cs="Times New Roman"/>
                <w:b/>
                <w:bCs/>
                <w:i w:val="0"/>
                <w:color w:val="000000"/>
                <w:kern w:val="0"/>
                <w:sz w:val="20"/>
                <w:szCs w:val="20"/>
                <w:u w:val="none"/>
                <w:lang w:eastAsia="zh-CN" w:bidi="ar"/>
              </w:rPr>
              <w:t>泽普县</w:t>
            </w:r>
            <w:r>
              <w:rPr>
                <w:rFonts w:hint="default" w:ascii="Times New Roman" w:hAnsi="Times New Roman" w:eastAsia="宋体" w:cs="Times New Roman"/>
                <w:b/>
                <w:bCs/>
                <w:i w:val="0"/>
                <w:color w:val="000000"/>
                <w:kern w:val="0"/>
                <w:sz w:val="20"/>
                <w:szCs w:val="20"/>
                <w:u w:val="none"/>
                <w:lang w:val="en-US" w:eastAsia="zh-CN" w:bidi="ar"/>
              </w:rPr>
              <w:t>本级</w:t>
            </w:r>
          </w:p>
        </w:tc>
        <w:tc>
          <w:tcPr>
            <w:tcW w:w="5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eastAsia="zh-CN" w:bidi="ar"/>
              </w:rPr>
            </w:pPr>
            <w:r>
              <w:rPr>
                <w:rFonts w:hint="default" w:ascii="Times New Roman" w:hAnsi="Times New Roman" w:eastAsia="宋体" w:cs="Times New Roman"/>
                <w:b/>
                <w:i w:val="0"/>
                <w:color w:val="000000"/>
                <w:kern w:val="0"/>
                <w:sz w:val="20"/>
                <w:szCs w:val="20"/>
                <w:u w:val="none"/>
                <w:lang w:val="en-US" w:eastAsia="zh-CN" w:bidi="ar"/>
              </w:rPr>
              <w:t>地市级</w:t>
            </w:r>
          </w:p>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i w:val="0"/>
                <w:color w:val="000000"/>
                <w:kern w:val="0"/>
                <w:sz w:val="20"/>
                <w:szCs w:val="20"/>
                <w:u w:val="none"/>
                <w:lang w:val="en-US" w:eastAsia="zh-CN" w:bidi="ar"/>
              </w:rPr>
              <w:t>以下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56" w:hRule="atLeast"/>
        </w:trPr>
        <w:tc>
          <w:tcPr>
            <w:tcW w:w="7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223</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国有资本经营预算支出 </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3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9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1"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4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5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1"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4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7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92" w:hRule="atLeast"/>
        </w:trPr>
        <w:tc>
          <w:tcPr>
            <w:tcW w:w="7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22301</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解决历史遗留问题及改革成本支出</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55"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5"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0"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35"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0"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8"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98"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1"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4"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43"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3"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55"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1"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45"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18"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78"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92" w:hRule="atLeast"/>
        </w:trPr>
        <w:tc>
          <w:tcPr>
            <w:tcW w:w="7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2230105</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国有企业退休人员社会化管理补助支出</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r>
              <w:rPr>
                <w:rFonts w:hint="default" w:ascii="Times New Roman" w:hAnsi="Times New Roman" w:cs="Times New Roman"/>
                <w:i w:val="0"/>
                <w:color w:val="000000"/>
                <w:kern w:val="2"/>
                <w:sz w:val="20"/>
                <w:szCs w:val="20"/>
                <w:u w:val="none"/>
                <w:lang w:val="en-US" w:eastAsia="zh-CN" w:bidi="ar-SA"/>
              </w:rPr>
              <w:t>5</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r>
              <w:rPr>
                <w:rFonts w:hint="default" w:ascii="Times New Roman" w:hAnsi="Times New Roman" w:cs="Times New Roman"/>
                <w:i w:val="0"/>
                <w:color w:val="000000"/>
                <w:kern w:val="2"/>
                <w:sz w:val="20"/>
                <w:szCs w:val="20"/>
                <w:u w:val="none"/>
                <w:lang w:val="en-US" w:eastAsia="zh-CN" w:bidi="ar-SA"/>
              </w:rPr>
              <w:t>5</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r>
              <w:rPr>
                <w:rFonts w:hint="default" w:ascii="Times New Roman" w:hAnsi="Times New Roman" w:cs="Times New Roman"/>
                <w:i w:val="0"/>
                <w:color w:val="000000"/>
                <w:kern w:val="2"/>
                <w:sz w:val="20"/>
                <w:szCs w:val="20"/>
                <w:u w:val="none"/>
                <w:lang w:val="en-US" w:eastAsia="zh-CN" w:bidi="ar-SA"/>
              </w:rPr>
              <w:t>5</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9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0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0"/>
                <w:szCs w:val="20"/>
                <w:u w:val="none"/>
                <w:lang w:val="en-US" w:eastAsia="zh-CN" w:bidi="ar-SA"/>
              </w:rPr>
            </w:pPr>
            <w:r>
              <w:rPr>
                <w:rFonts w:hint="default" w:ascii="Times New Roman" w:hAnsi="Times New Roman" w:eastAsia="等线" w:cs="Times New Roman"/>
                <w:i w:val="0"/>
                <w:color w:val="000000"/>
                <w:kern w:val="0"/>
                <w:sz w:val="22"/>
                <w:szCs w:val="22"/>
                <w:u w:val="none"/>
                <w:lang w:val="en-US" w:eastAsia="zh-CN" w:bidi="ar"/>
              </w:rPr>
              <w:t>5</w:t>
            </w:r>
          </w:p>
        </w:tc>
        <w:tc>
          <w:tcPr>
            <w:tcW w:w="54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8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0"/>
                <w:szCs w:val="20"/>
                <w:u w:val="none"/>
                <w:lang w:val="en-US" w:eastAsia="zh-CN" w:bidi="ar-SA"/>
              </w:rPr>
            </w:pPr>
          </w:p>
        </w:tc>
        <w:tc>
          <w:tcPr>
            <w:tcW w:w="4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r>
              <w:rPr>
                <w:rFonts w:hint="default" w:ascii="Times New Roman" w:hAnsi="Times New Roman" w:cs="Times New Roman"/>
                <w:i w:val="0"/>
                <w:color w:val="000000"/>
                <w:kern w:val="2"/>
                <w:sz w:val="20"/>
                <w:szCs w:val="20"/>
                <w:u w:val="none"/>
                <w:lang w:val="en-US" w:eastAsia="zh-CN" w:bidi="ar-SA"/>
              </w:rPr>
              <w:t>5</w:t>
            </w:r>
          </w:p>
        </w:tc>
        <w:tc>
          <w:tcPr>
            <w:tcW w:w="4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7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56" w:hRule="atLeast"/>
        </w:trPr>
        <w:tc>
          <w:tcPr>
            <w:tcW w:w="7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2230106</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国有企业棚户区改造支出</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9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0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0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4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8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7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56" w:hRule="atLeast"/>
        </w:trPr>
        <w:tc>
          <w:tcPr>
            <w:tcW w:w="7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22302</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国有企业资本金注入</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3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9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1"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4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5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1"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4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7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56" w:hRule="atLeast"/>
        </w:trPr>
        <w:tc>
          <w:tcPr>
            <w:tcW w:w="7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2230208</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金融企业资本性支出</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55"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5"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0"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35"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0"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98"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1"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4"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43"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3"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55"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1"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45"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18"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78"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56" w:hRule="atLeast"/>
        </w:trPr>
        <w:tc>
          <w:tcPr>
            <w:tcW w:w="7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2230299</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其他国有企业资本金注入</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kern w:val="2"/>
                <w:sz w:val="20"/>
                <w:szCs w:val="20"/>
                <w:u w:val="none"/>
                <w:lang w:val="en-US" w:eastAsia="zh-CN" w:bidi="ar-SA"/>
              </w:rPr>
            </w:pPr>
            <w:r>
              <w:rPr>
                <w:rFonts w:hint="default" w:ascii="Times New Roman" w:hAnsi="Times New Roman" w:eastAsia="等线" w:cs="Times New Roman"/>
                <w:i w:val="0"/>
                <w:color w:val="000000"/>
                <w:kern w:val="0"/>
                <w:sz w:val="22"/>
                <w:szCs w:val="22"/>
                <w:u w:val="none"/>
                <w:lang w:val="en-US" w:eastAsia="zh-CN" w:bidi="ar"/>
              </w:rPr>
              <w:t xml:space="preserve"> </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kern w:val="2"/>
                <w:sz w:val="20"/>
                <w:szCs w:val="20"/>
                <w:u w:val="none"/>
                <w:lang w:val="en-US" w:eastAsia="zh-CN" w:bidi="ar-SA"/>
              </w:rPr>
            </w:pPr>
            <w:r>
              <w:rPr>
                <w:rFonts w:hint="default" w:ascii="Times New Roman" w:hAnsi="Times New Roman" w:eastAsia="等线" w:cs="Times New Roman"/>
                <w:i w:val="0"/>
                <w:color w:val="000000"/>
                <w:kern w:val="0"/>
                <w:sz w:val="22"/>
                <w:szCs w:val="22"/>
                <w:u w:val="none"/>
                <w:lang w:val="en-US" w:eastAsia="zh-CN" w:bidi="ar"/>
              </w:rPr>
              <w:t xml:space="preserve"> </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0" w:type="dxa"/>
            <w:tcBorders>
              <w:top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kern w:val="2"/>
                <w:sz w:val="20"/>
                <w:szCs w:val="20"/>
                <w:u w:val="none"/>
                <w:lang w:val="en-US" w:eastAsia="zh-CN" w:bidi="ar-SA"/>
              </w:rPr>
            </w:pPr>
            <w:r>
              <w:rPr>
                <w:rFonts w:hint="default" w:ascii="Times New Roman" w:hAnsi="Times New Roman" w:eastAsia="等线" w:cs="Times New Roman"/>
                <w:i w:val="0"/>
                <w:color w:val="000000"/>
                <w:kern w:val="0"/>
                <w:sz w:val="22"/>
                <w:szCs w:val="22"/>
                <w:u w:val="none"/>
                <w:lang w:val="en-US" w:eastAsia="zh-CN" w:bidi="ar"/>
              </w:rPr>
              <w:t xml:space="preserve"> </w:t>
            </w:r>
          </w:p>
        </w:tc>
        <w:tc>
          <w:tcPr>
            <w:tcW w:w="435"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0"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98"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1"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4" w:type="dxa"/>
            <w:tcBorders>
              <w:top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r>
              <w:rPr>
                <w:rFonts w:hint="default" w:ascii="Times New Roman" w:hAnsi="Times New Roman" w:cs="Times New Roman"/>
                <w:i w:val="0"/>
                <w:color w:val="000000"/>
                <w:kern w:val="2"/>
                <w:sz w:val="20"/>
                <w:szCs w:val="20"/>
                <w:u w:val="none"/>
                <w:lang w:val="en-US" w:eastAsia="zh-CN" w:bidi="ar-SA"/>
              </w:rPr>
              <w:t>500</w:t>
            </w:r>
          </w:p>
        </w:tc>
        <w:tc>
          <w:tcPr>
            <w:tcW w:w="543" w:type="dxa"/>
            <w:tcBorders>
              <w:top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83" w:type="dxa"/>
            <w:tcBorders>
              <w:top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r>
              <w:rPr>
                <w:rFonts w:hint="default" w:ascii="Times New Roman" w:hAnsi="Times New Roman" w:cs="Times New Roman"/>
                <w:i w:val="0"/>
                <w:color w:val="000000"/>
                <w:kern w:val="2"/>
                <w:sz w:val="20"/>
                <w:szCs w:val="20"/>
                <w:u w:val="none"/>
                <w:lang w:val="en-US" w:eastAsia="zh-CN" w:bidi="ar-SA"/>
              </w:rPr>
              <w:t>500</w:t>
            </w:r>
          </w:p>
        </w:tc>
        <w:tc>
          <w:tcPr>
            <w:tcW w:w="455" w:type="dxa"/>
            <w:tcBorders>
              <w:top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61"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45"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18"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78"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56" w:hRule="atLeast"/>
        </w:trPr>
        <w:tc>
          <w:tcPr>
            <w:tcW w:w="7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22303</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国有企业政策性补贴</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55"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5"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0"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35"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0"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8"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98"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1"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4"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43"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3"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55"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1"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45"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18"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78"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56" w:hRule="atLeast"/>
        </w:trPr>
        <w:tc>
          <w:tcPr>
            <w:tcW w:w="7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2230301</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国有企业政策性补贴</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0"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35"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0"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98"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1"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4"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43"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3"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55"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1"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45"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18"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78"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56" w:hRule="atLeast"/>
        </w:trPr>
        <w:tc>
          <w:tcPr>
            <w:tcW w:w="7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22399</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其他国有资本经营预算支出</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r>
              <w:rPr>
                <w:rFonts w:hint="default" w:ascii="Times New Roman" w:hAnsi="Times New Roman" w:cs="Times New Roman"/>
                <w:i w:val="0"/>
                <w:color w:val="000000"/>
                <w:kern w:val="2"/>
                <w:sz w:val="20"/>
                <w:szCs w:val="20"/>
                <w:u w:val="none"/>
                <w:lang w:val="en-US" w:eastAsia="zh-CN" w:bidi="ar-SA"/>
              </w:rPr>
              <w:t>10</w:t>
            </w:r>
          </w:p>
        </w:tc>
        <w:tc>
          <w:tcPr>
            <w:tcW w:w="555" w:type="dxa"/>
            <w:tcBorders>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r>
              <w:rPr>
                <w:rFonts w:hint="default" w:ascii="Times New Roman" w:hAnsi="Times New Roman" w:cs="Times New Roman"/>
                <w:i w:val="0"/>
                <w:color w:val="000000"/>
                <w:kern w:val="2"/>
                <w:sz w:val="20"/>
                <w:szCs w:val="20"/>
                <w:u w:val="none"/>
                <w:lang w:val="en-US" w:eastAsia="zh-CN" w:bidi="ar-SA"/>
              </w:rPr>
              <w:t>10</w:t>
            </w:r>
          </w:p>
        </w:tc>
        <w:tc>
          <w:tcPr>
            <w:tcW w:w="485"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0"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35"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0"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8"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98"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1"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4"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43"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3"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55"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1"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45"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18"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78"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56" w:hRule="atLeast"/>
        </w:trPr>
        <w:tc>
          <w:tcPr>
            <w:tcW w:w="7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2239999</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其他国有资本经营预算支出</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0"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35"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0"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98"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1"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4"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43"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3"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55"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1"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45"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18"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78"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56" w:hRule="atLeast"/>
        </w:trPr>
        <w:tc>
          <w:tcPr>
            <w:tcW w:w="77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2300803</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cs="Times New Roman"/>
                <w:i w:val="0"/>
                <w:color w:val="000000"/>
                <w:kern w:val="0"/>
                <w:sz w:val="20"/>
                <w:szCs w:val="20"/>
                <w:u w:val="none"/>
                <w:lang w:val="en-US" w:eastAsia="zh-CN" w:bidi="ar"/>
              </w:rPr>
              <w:t>国有资本经营预算调入资金</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r>
              <w:rPr>
                <w:rFonts w:hint="default" w:ascii="Times New Roman" w:hAnsi="Times New Roman" w:cs="Times New Roman"/>
                <w:i w:val="0"/>
                <w:color w:val="000000"/>
                <w:kern w:val="2"/>
                <w:sz w:val="20"/>
                <w:szCs w:val="20"/>
                <w:u w:val="none"/>
                <w:lang w:val="en-US" w:eastAsia="zh-CN" w:bidi="ar-SA"/>
              </w:rPr>
              <w:t>887</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cs="Times New Roman"/>
                <w:i w:val="0"/>
                <w:color w:val="000000"/>
                <w:sz w:val="20"/>
                <w:szCs w:val="20"/>
                <w:u w:val="none"/>
                <w:lang w:val="en-US" w:eastAsia="zh-CN"/>
              </w:rPr>
            </w:pPr>
          </w:p>
        </w:tc>
        <w:tc>
          <w:tcPr>
            <w:tcW w:w="4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9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0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0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cs="Times New Roman"/>
                <w:i w:val="0"/>
                <w:color w:val="000000"/>
                <w:kern w:val="2"/>
                <w:sz w:val="20"/>
                <w:szCs w:val="20"/>
                <w:u w:val="none"/>
                <w:lang w:val="en-US" w:eastAsia="zh-CN" w:bidi="ar-SA"/>
              </w:rPr>
            </w:pPr>
            <w:r>
              <w:rPr>
                <w:rFonts w:hint="default" w:ascii="Times New Roman" w:hAnsi="Times New Roman" w:cs="Times New Roman"/>
                <w:i w:val="0"/>
                <w:color w:val="000000"/>
                <w:kern w:val="2"/>
                <w:sz w:val="20"/>
                <w:szCs w:val="20"/>
                <w:u w:val="none"/>
                <w:lang w:val="en-US" w:eastAsia="zh-CN" w:bidi="ar-SA"/>
              </w:rPr>
              <w:t>513</w:t>
            </w:r>
          </w:p>
        </w:tc>
        <w:tc>
          <w:tcPr>
            <w:tcW w:w="54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8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cs="Times New Roman"/>
                <w:i w:val="0"/>
                <w:color w:val="000000"/>
                <w:kern w:val="2"/>
                <w:sz w:val="20"/>
                <w:szCs w:val="20"/>
                <w:u w:val="none"/>
                <w:lang w:val="en-US" w:eastAsia="zh-CN" w:bidi="ar-SA"/>
              </w:rPr>
            </w:pPr>
          </w:p>
        </w:tc>
        <w:tc>
          <w:tcPr>
            <w:tcW w:w="45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1"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4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7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56" w:hRule="atLeast"/>
        </w:trPr>
        <w:tc>
          <w:tcPr>
            <w:tcW w:w="77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cs="Times New Roman"/>
                <w:i w:val="0"/>
                <w:color w:val="000000"/>
                <w:sz w:val="20"/>
                <w:szCs w:val="20"/>
                <w:u w:val="none"/>
                <w:lang w:val="en-US" w:eastAsia="zh-CN"/>
              </w:rPr>
            </w:pP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r>
              <w:rPr>
                <w:rFonts w:hint="eastAsia" w:ascii="Times New Roman" w:hAnsi="Times New Roman" w:cs="Times New Roman"/>
                <w:b/>
                <w:bCs/>
                <w:i w:val="0"/>
                <w:iCs w:val="0"/>
                <w:color w:val="000000"/>
                <w:kern w:val="0"/>
                <w:sz w:val="20"/>
                <w:szCs w:val="20"/>
                <w:u w:val="none"/>
                <w:lang w:val="en-US" w:eastAsia="zh-CN" w:bidi="ar"/>
              </w:rPr>
              <w:t>支出合计</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r>
              <w:rPr>
                <w:rFonts w:hint="eastAsia" w:ascii="Times New Roman" w:hAnsi="Times New Roman" w:cs="Times New Roman"/>
                <w:b/>
                <w:bCs/>
                <w:i w:val="0"/>
                <w:iCs w:val="0"/>
                <w:color w:val="000000"/>
                <w:kern w:val="0"/>
                <w:sz w:val="20"/>
                <w:szCs w:val="20"/>
                <w:u w:val="none"/>
                <w:lang w:val="en-US" w:eastAsia="zh-CN" w:bidi="ar"/>
              </w:rPr>
              <w:t>902</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p>
        </w:tc>
        <w:tc>
          <w:tcPr>
            <w:tcW w:w="5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p>
        </w:tc>
        <w:tc>
          <w:tcPr>
            <w:tcW w:w="4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p>
        </w:tc>
        <w:tc>
          <w:tcPr>
            <w:tcW w:w="5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p>
        </w:tc>
        <w:tc>
          <w:tcPr>
            <w:tcW w:w="4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p>
        </w:tc>
        <w:tc>
          <w:tcPr>
            <w:tcW w:w="5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p>
        </w:tc>
        <w:tc>
          <w:tcPr>
            <w:tcW w:w="5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r>
              <w:rPr>
                <w:rFonts w:hint="eastAsia" w:ascii="Times New Roman" w:hAnsi="Times New Roman" w:cs="Times New Roman"/>
                <w:b/>
                <w:bCs/>
                <w:i w:val="0"/>
                <w:iCs w:val="0"/>
                <w:color w:val="000000"/>
                <w:kern w:val="0"/>
                <w:sz w:val="20"/>
                <w:szCs w:val="20"/>
                <w:u w:val="none"/>
                <w:lang w:val="en-US" w:eastAsia="zh-CN" w:bidi="ar"/>
              </w:rPr>
              <w:t>1018</w:t>
            </w:r>
          </w:p>
        </w:tc>
        <w:tc>
          <w:tcPr>
            <w:tcW w:w="5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p>
        </w:tc>
        <w:tc>
          <w:tcPr>
            <w:tcW w:w="48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p>
        </w:tc>
        <w:tc>
          <w:tcPr>
            <w:tcW w:w="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r>
              <w:rPr>
                <w:rFonts w:hint="eastAsia" w:ascii="Times New Roman" w:hAnsi="Times New Roman" w:cs="Times New Roman"/>
                <w:b/>
                <w:bCs/>
                <w:i w:val="0"/>
                <w:iCs w:val="0"/>
                <w:color w:val="000000"/>
                <w:kern w:val="0"/>
                <w:sz w:val="20"/>
                <w:szCs w:val="20"/>
                <w:u w:val="none"/>
                <w:lang w:val="en-US" w:eastAsia="zh-CN" w:bidi="ar"/>
              </w:rPr>
              <w:t>1018</w:t>
            </w:r>
          </w:p>
        </w:tc>
        <w:tc>
          <w:tcPr>
            <w:tcW w:w="4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p>
        </w:tc>
        <w:tc>
          <w:tcPr>
            <w:tcW w:w="4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p>
        </w:tc>
        <w:tc>
          <w:tcPr>
            <w:tcW w:w="5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p>
        </w:tc>
      </w:tr>
    </w:tbl>
    <w:tbl>
      <w:tblPr>
        <w:tblStyle w:val="8"/>
        <w:tblpPr w:leftFromText="180" w:rightFromText="180" w:vertAnchor="text" w:horzAnchor="page" w:tblpXSpec="center" w:tblpY="1218"/>
        <w:tblOverlap w:val="never"/>
        <w:tblW w:w="10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161"/>
        <w:gridCol w:w="538"/>
        <w:gridCol w:w="583"/>
        <w:gridCol w:w="519"/>
        <w:gridCol w:w="575"/>
        <w:gridCol w:w="777"/>
        <w:gridCol w:w="828"/>
        <w:gridCol w:w="1395"/>
        <w:gridCol w:w="532"/>
        <w:gridCol w:w="654"/>
        <w:gridCol w:w="491"/>
        <w:gridCol w:w="696"/>
        <w:gridCol w:w="763"/>
        <w:gridCol w:w="6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1161" w:type="dxa"/>
            <w:noWrap w:val="0"/>
            <w:vAlign w:val="top"/>
          </w:tcPr>
          <w:p>
            <w:pPr>
              <w:keepNext w:val="0"/>
              <w:keepLines w:val="0"/>
              <w:widowControl/>
              <w:suppressLineNumbers w:val="0"/>
              <w:jc w:val="left"/>
              <w:textAlignment w:val="bottom"/>
              <w:rPr>
                <w:rFonts w:hint="default" w:ascii="Times New Roman" w:hAnsi="Times New Roman" w:eastAsia="宋体" w:cs="Times New Roman"/>
                <w:i w:val="0"/>
                <w:color w:val="000000"/>
                <w:sz w:val="20"/>
                <w:szCs w:val="20"/>
                <w:u w:val="none"/>
                <w:lang w:val="en-US"/>
              </w:rPr>
            </w:pPr>
            <w:r>
              <w:rPr>
                <w:rFonts w:hint="eastAsia" w:cs="Times New Roman"/>
                <w:i w:val="0"/>
                <w:color w:val="000000"/>
                <w:kern w:val="0"/>
                <w:sz w:val="20"/>
                <w:szCs w:val="20"/>
                <w:u w:val="none"/>
                <w:lang w:val="en-US" w:eastAsia="zh-CN" w:bidi="ar"/>
              </w:rPr>
              <w:t xml:space="preserve"> </w:t>
            </w:r>
            <w:r>
              <w:rPr>
                <w:rFonts w:hint="default" w:ascii="Times New Roman" w:hAnsi="Times New Roman" w:eastAsia="宋体" w:cs="Times New Roman"/>
                <w:i w:val="0"/>
                <w:color w:val="000000"/>
                <w:kern w:val="0"/>
                <w:sz w:val="20"/>
                <w:szCs w:val="20"/>
                <w:u w:val="none"/>
                <w:lang w:val="en-US" w:eastAsia="zh-CN" w:bidi="ar"/>
              </w:rPr>
              <w:t>表</w:t>
            </w:r>
            <w:r>
              <w:rPr>
                <w:rFonts w:hint="default" w:ascii="Times New Roman" w:hAnsi="Times New Roman" w:cs="Times New Roman"/>
                <w:i w:val="0"/>
                <w:color w:val="000000"/>
                <w:kern w:val="0"/>
                <w:sz w:val="20"/>
                <w:szCs w:val="20"/>
                <w:u w:val="none"/>
                <w:lang w:eastAsia="zh-CN" w:bidi="ar"/>
              </w:rPr>
              <w:t>1</w:t>
            </w:r>
            <w:r>
              <w:rPr>
                <w:rFonts w:hint="default" w:ascii="Times New Roman" w:hAnsi="Times New Roman" w:cs="Times New Roman"/>
                <w:i w:val="0"/>
                <w:color w:val="000000"/>
                <w:kern w:val="0"/>
                <w:sz w:val="20"/>
                <w:szCs w:val="20"/>
                <w:u w:val="none"/>
                <w:lang w:val="en-US" w:eastAsia="zh-CN" w:bidi="ar"/>
              </w:rPr>
              <w:t>7</w:t>
            </w:r>
          </w:p>
        </w:tc>
        <w:tc>
          <w:tcPr>
            <w:tcW w:w="538" w:type="dxa"/>
            <w:noWrap w:val="0"/>
            <w:vAlign w:val="top"/>
          </w:tcPr>
          <w:p>
            <w:pPr>
              <w:rPr>
                <w:rFonts w:hint="default" w:ascii="Times New Roman" w:hAnsi="Times New Roman" w:cs="Times New Roman"/>
                <w:i w:val="0"/>
                <w:color w:val="000000"/>
                <w:sz w:val="20"/>
                <w:szCs w:val="20"/>
                <w:u w:val="none"/>
              </w:rPr>
            </w:pPr>
          </w:p>
        </w:tc>
        <w:tc>
          <w:tcPr>
            <w:tcW w:w="583" w:type="dxa"/>
            <w:noWrap w:val="0"/>
            <w:vAlign w:val="top"/>
          </w:tcPr>
          <w:p>
            <w:pPr>
              <w:rPr>
                <w:rFonts w:hint="default" w:ascii="Times New Roman" w:hAnsi="Times New Roman" w:cs="Times New Roman"/>
                <w:i w:val="0"/>
                <w:color w:val="000000"/>
                <w:sz w:val="20"/>
                <w:szCs w:val="20"/>
                <w:u w:val="none"/>
              </w:rPr>
            </w:pPr>
          </w:p>
        </w:tc>
        <w:tc>
          <w:tcPr>
            <w:tcW w:w="519" w:type="dxa"/>
            <w:noWrap w:val="0"/>
            <w:vAlign w:val="top"/>
          </w:tcPr>
          <w:p>
            <w:pPr>
              <w:rPr>
                <w:rFonts w:hint="default" w:ascii="Times New Roman" w:hAnsi="Times New Roman" w:cs="Times New Roman"/>
                <w:i w:val="0"/>
                <w:color w:val="000000"/>
                <w:sz w:val="20"/>
                <w:szCs w:val="20"/>
                <w:u w:val="none"/>
              </w:rPr>
            </w:pPr>
          </w:p>
        </w:tc>
        <w:tc>
          <w:tcPr>
            <w:tcW w:w="575" w:type="dxa"/>
            <w:noWrap w:val="0"/>
            <w:vAlign w:val="top"/>
          </w:tcPr>
          <w:p>
            <w:pPr>
              <w:rPr>
                <w:rFonts w:hint="default" w:ascii="Times New Roman" w:hAnsi="Times New Roman" w:cs="Times New Roman"/>
                <w:i w:val="0"/>
                <w:color w:val="000000"/>
                <w:sz w:val="20"/>
                <w:szCs w:val="20"/>
                <w:u w:val="none"/>
              </w:rPr>
            </w:pPr>
          </w:p>
        </w:tc>
        <w:tc>
          <w:tcPr>
            <w:tcW w:w="777" w:type="dxa"/>
            <w:noWrap w:val="0"/>
            <w:vAlign w:val="top"/>
          </w:tcPr>
          <w:p>
            <w:pPr>
              <w:rPr>
                <w:rFonts w:hint="default" w:ascii="Times New Roman" w:hAnsi="Times New Roman" w:cs="Times New Roman"/>
                <w:i w:val="0"/>
                <w:color w:val="000000"/>
                <w:sz w:val="20"/>
                <w:szCs w:val="20"/>
                <w:u w:val="none"/>
              </w:rPr>
            </w:pPr>
          </w:p>
        </w:tc>
        <w:tc>
          <w:tcPr>
            <w:tcW w:w="828" w:type="dxa"/>
            <w:noWrap w:val="0"/>
            <w:vAlign w:val="top"/>
          </w:tcPr>
          <w:p>
            <w:pPr>
              <w:rPr>
                <w:rFonts w:hint="default" w:ascii="Times New Roman" w:hAnsi="Times New Roman" w:cs="Times New Roman"/>
                <w:i w:val="0"/>
                <w:color w:val="000000"/>
                <w:sz w:val="20"/>
                <w:szCs w:val="20"/>
                <w:u w:val="none"/>
              </w:rPr>
            </w:pPr>
          </w:p>
        </w:tc>
        <w:tc>
          <w:tcPr>
            <w:tcW w:w="1395" w:type="dxa"/>
            <w:noWrap w:val="0"/>
            <w:vAlign w:val="top"/>
          </w:tcPr>
          <w:p>
            <w:pPr>
              <w:rPr>
                <w:rFonts w:hint="default" w:ascii="Times New Roman" w:hAnsi="Times New Roman" w:cs="Times New Roman"/>
                <w:i w:val="0"/>
                <w:color w:val="000000"/>
                <w:sz w:val="20"/>
                <w:szCs w:val="20"/>
                <w:u w:val="none"/>
              </w:rPr>
            </w:pPr>
          </w:p>
        </w:tc>
        <w:tc>
          <w:tcPr>
            <w:tcW w:w="532" w:type="dxa"/>
            <w:noWrap w:val="0"/>
            <w:vAlign w:val="top"/>
          </w:tcPr>
          <w:p>
            <w:pPr>
              <w:rPr>
                <w:rFonts w:hint="default" w:ascii="Times New Roman" w:hAnsi="Times New Roman" w:cs="Times New Roman"/>
                <w:i w:val="0"/>
                <w:color w:val="000000"/>
                <w:sz w:val="20"/>
                <w:szCs w:val="20"/>
                <w:u w:val="none"/>
              </w:rPr>
            </w:pPr>
          </w:p>
        </w:tc>
        <w:tc>
          <w:tcPr>
            <w:tcW w:w="654" w:type="dxa"/>
            <w:noWrap w:val="0"/>
            <w:vAlign w:val="top"/>
          </w:tcPr>
          <w:p>
            <w:pPr>
              <w:rPr>
                <w:rFonts w:hint="default" w:ascii="Times New Roman" w:hAnsi="Times New Roman" w:cs="Times New Roman"/>
                <w:i w:val="0"/>
                <w:color w:val="000000"/>
                <w:sz w:val="20"/>
                <w:szCs w:val="20"/>
                <w:u w:val="none"/>
              </w:rPr>
            </w:pPr>
          </w:p>
        </w:tc>
        <w:tc>
          <w:tcPr>
            <w:tcW w:w="491" w:type="dxa"/>
            <w:noWrap w:val="0"/>
            <w:vAlign w:val="top"/>
          </w:tcPr>
          <w:p>
            <w:pPr>
              <w:rPr>
                <w:rFonts w:hint="default" w:ascii="Times New Roman" w:hAnsi="Times New Roman" w:cs="Times New Roman"/>
                <w:i w:val="0"/>
                <w:color w:val="000000"/>
                <w:sz w:val="20"/>
                <w:szCs w:val="20"/>
                <w:u w:val="none"/>
              </w:rPr>
            </w:pPr>
          </w:p>
        </w:tc>
        <w:tc>
          <w:tcPr>
            <w:tcW w:w="696" w:type="dxa"/>
            <w:noWrap w:val="0"/>
            <w:vAlign w:val="top"/>
          </w:tcPr>
          <w:p>
            <w:pPr>
              <w:rPr>
                <w:rFonts w:hint="default" w:ascii="Times New Roman" w:hAnsi="Times New Roman" w:cs="Times New Roman"/>
                <w:i w:val="0"/>
                <w:color w:val="000000"/>
                <w:sz w:val="20"/>
                <w:szCs w:val="20"/>
                <w:u w:val="none"/>
              </w:rPr>
            </w:pPr>
          </w:p>
        </w:tc>
        <w:tc>
          <w:tcPr>
            <w:tcW w:w="763" w:type="dxa"/>
            <w:noWrap w:val="0"/>
            <w:vAlign w:val="top"/>
          </w:tcPr>
          <w:p>
            <w:pPr>
              <w:rPr>
                <w:rFonts w:hint="default" w:ascii="Times New Roman" w:hAnsi="Times New Roman" w:cs="Times New Roman"/>
                <w:i w:val="0"/>
                <w:color w:val="000000"/>
                <w:sz w:val="20"/>
                <w:szCs w:val="20"/>
                <w:u w:val="none"/>
              </w:rPr>
            </w:pPr>
          </w:p>
        </w:tc>
        <w:tc>
          <w:tcPr>
            <w:tcW w:w="628" w:type="dxa"/>
            <w:noWrap w:val="0"/>
            <w:vAlign w:val="top"/>
          </w:tcPr>
          <w:p>
            <w:pPr>
              <w:rPr>
                <w:rFonts w:hint="default" w:ascii="Times New Roman" w:hAnsi="Times New Roman"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0" w:hRule="atLeast"/>
          <w:jc w:val="center"/>
        </w:trPr>
        <w:tc>
          <w:tcPr>
            <w:tcW w:w="10140" w:type="dxa"/>
            <w:gridSpan w:val="14"/>
            <w:noWrap w:val="0"/>
            <w:vAlign w:val="top"/>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202</w:t>
            </w:r>
            <w:r>
              <w:rPr>
                <w:rFonts w:hint="default" w:ascii="Times New Roman" w:hAnsi="Times New Roman" w:cs="Times New Roman"/>
                <w:b/>
                <w:i w:val="0"/>
                <w:color w:val="000000"/>
                <w:kern w:val="0"/>
                <w:sz w:val="20"/>
                <w:szCs w:val="20"/>
                <w:highlight w:val="none"/>
                <w:u w:val="none"/>
                <w:lang w:val="en-US" w:eastAsia="zh-CN" w:bidi="ar"/>
              </w:rPr>
              <w:t>5</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cs="Times New Roman"/>
                <w:b/>
                <w:i w:val="0"/>
                <w:color w:val="000000"/>
                <w:kern w:val="0"/>
                <w:sz w:val="20"/>
                <w:szCs w:val="20"/>
                <w:highlight w:val="none"/>
                <w:u w:val="none"/>
                <w:lang w:val="en-US" w:eastAsia="zh-CN" w:bidi="ar"/>
              </w:rPr>
              <w:t>泽普县本级</w:t>
            </w:r>
            <w:r>
              <w:rPr>
                <w:rFonts w:hint="default" w:ascii="Times New Roman" w:hAnsi="Times New Roman" w:eastAsia="宋体" w:cs="Times New Roman"/>
                <w:b/>
                <w:i w:val="0"/>
                <w:color w:val="000000"/>
                <w:kern w:val="0"/>
                <w:sz w:val="20"/>
                <w:szCs w:val="20"/>
                <w:highlight w:val="none"/>
                <w:u w:val="none"/>
                <w:lang w:val="en-US" w:eastAsia="zh-CN" w:bidi="ar"/>
              </w:rPr>
              <w:t>国有资本经营预算收支总表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22" w:hRule="atLeast"/>
          <w:jc w:val="center"/>
        </w:trPr>
        <w:tc>
          <w:tcPr>
            <w:tcW w:w="1161" w:type="dxa"/>
            <w:noWrap w:val="0"/>
            <w:vAlign w:val="top"/>
          </w:tcPr>
          <w:p>
            <w:pPr>
              <w:jc w:val="center"/>
              <w:rPr>
                <w:rFonts w:hint="default" w:ascii="Times New Roman" w:hAnsi="Times New Roman" w:eastAsia="宋体" w:cs="Times New Roman"/>
                <w:i w:val="0"/>
                <w:color w:val="000000"/>
                <w:sz w:val="20"/>
                <w:szCs w:val="20"/>
                <w:highlight w:val="none"/>
                <w:u w:val="none"/>
              </w:rPr>
            </w:pPr>
          </w:p>
        </w:tc>
        <w:tc>
          <w:tcPr>
            <w:tcW w:w="538" w:type="dxa"/>
            <w:noWrap w:val="0"/>
            <w:vAlign w:val="top"/>
          </w:tcPr>
          <w:p>
            <w:pPr>
              <w:jc w:val="center"/>
              <w:rPr>
                <w:rFonts w:hint="default" w:ascii="Times New Roman" w:hAnsi="Times New Roman" w:eastAsia="宋体" w:cs="Times New Roman"/>
                <w:i w:val="0"/>
                <w:color w:val="000000"/>
                <w:sz w:val="20"/>
                <w:szCs w:val="20"/>
                <w:highlight w:val="none"/>
                <w:u w:val="none"/>
              </w:rPr>
            </w:pPr>
          </w:p>
        </w:tc>
        <w:tc>
          <w:tcPr>
            <w:tcW w:w="583" w:type="dxa"/>
            <w:noWrap w:val="0"/>
            <w:vAlign w:val="top"/>
          </w:tcPr>
          <w:p>
            <w:pPr>
              <w:jc w:val="center"/>
              <w:rPr>
                <w:rFonts w:hint="default" w:ascii="Times New Roman" w:hAnsi="Times New Roman" w:eastAsia="宋体" w:cs="Times New Roman"/>
                <w:i w:val="0"/>
                <w:color w:val="000000"/>
                <w:sz w:val="20"/>
                <w:szCs w:val="20"/>
                <w:highlight w:val="none"/>
                <w:u w:val="none"/>
              </w:rPr>
            </w:pPr>
          </w:p>
        </w:tc>
        <w:tc>
          <w:tcPr>
            <w:tcW w:w="519" w:type="dxa"/>
            <w:noWrap w:val="0"/>
            <w:vAlign w:val="top"/>
          </w:tcPr>
          <w:p>
            <w:pPr>
              <w:jc w:val="center"/>
              <w:rPr>
                <w:rFonts w:hint="default" w:ascii="Times New Roman" w:hAnsi="Times New Roman" w:eastAsia="宋体" w:cs="Times New Roman"/>
                <w:i w:val="0"/>
                <w:color w:val="000000"/>
                <w:sz w:val="20"/>
                <w:szCs w:val="20"/>
                <w:highlight w:val="none"/>
                <w:u w:val="none"/>
              </w:rPr>
            </w:pPr>
          </w:p>
        </w:tc>
        <w:tc>
          <w:tcPr>
            <w:tcW w:w="575" w:type="dxa"/>
            <w:noWrap w:val="0"/>
            <w:vAlign w:val="top"/>
          </w:tcPr>
          <w:p>
            <w:pPr>
              <w:jc w:val="center"/>
              <w:rPr>
                <w:rFonts w:hint="default" w:ascii="Times New Roman" w:hAnsi="Times New Roman" w:eastAsia="宋体" w:cs="Times New Roman"/>
                <w:i w:val="0"/>
                <w:color w:val="000000"/>
                <w:sz w:val="20"/>
                <w:szCs w:val="20"/>
                <w:highlight w:val="none"/>
                <w:u w:val="none"/>
              </w:rPr>
            </w:pPr>
          </w:p>
        </w:tc>
        <w:tc>
          <w:tcPr>
            <w:tcW w:w="777" w:type="dxa"/>
            <w:noWrap w:val="0"/>
            <w:vAlign w:val="top"/>
          </w:tcPr>
          <w:p>
            <w:pPr>
              <w:jc w:val="center"/>
              <w:rPr>
                <w:rFonts w:hint="default" w:ascii="Times New Roman" w:hAnsi="Times New Roman" w:eastAsia="宋体" w:cs="Times New Roman"/>
                <w:i w:val="0"/>
                <w:color w:val="000000"/>
                <w:sz w:val="20"/>
                <w:szCs w:val="20"/>
                <w:highlight w:val="none"/>
                <w:u w:val="none"/>
              </w:rPr>
            </w:pPr>
          </w:p>
        </w:tc>
        <w:tc>
          <w:tcPr>
            <w:tcW w:w="828" w:type="dxa"/>
            <w:noWrap w:val="0"/>
            <w:vAlign w:val="top"/>
          </w:tcPr>
          <w:p>
            <w:pPr>
              <w:jc w:val="center"/>
              <w:rPr>
                <w:rFonts w:hint="default" w:ascii="Times New Roman" w:hAnsi="Times New Roman" w:eastAsia="宋体" w:cs="Times New Roman"/>
                <w:i w:val="0"/>
                <w:color w:val="000000"/>
                <w:sz w:val="20"/>
                <w:szCs w:val="20"/>
                <w:highlight w:val="none"/>
                <w:u w:val="none"/>
              </w:rPr>
            </w:pPr>
          </w:p>
        </w:tc>
        <w:tc>
          <w:tcPr>
            <w:tcW w:w="1395" w:type="dxa"/>
            <w:noWrap w:val="0"/>
            <w:vAlign w:val="top"/>
          </w:tcPr>
          <w:p>
            <w:pPr>
              <w:jc w:val="center"/>
              <w:rPr>
                <w:rFonts w:hint="default" w:ascii="Times New Roman" w:hAnsi="Times New Roman" w:eastAsia="宋体" w:cs="Times New Roman"/>
                <w:i w:val="0"/>
                <w:color w:val="000000"/>
                <w:sz w:val="20"/>
                <w:szCs w:val="20"/>
                <w:highlight w:val="none"/>
                <w:u w:val="none"/>
              </w:rPr>
            </w:pPr>
          </w:p>
        </w:tc>
        <w:tc>
          <w:tcPr>
            <w:tcW w:w="532" w:type="dxa"/>
            <w:noWrap w:val="0"/>
            <w:vAlign w:val="top"/>
          </w:tcPr>
          <w:p>
            <w:pPr>
              <w:rPr>
                <w:rFonts w:hint="default" w:ascii="Times New Roman" w:hAnsi="Times New Roman" w:cs="Times New Roman"/>
                <w:i w:val="0"/>
                <w:color w:val="000000"/>
                <w:sz w:val="20"/>
                <w:szCs w:val="20"/>
                <w:highlight w:val="none"/>
                <w:u w:val="none"/>
              </w:rPr>
            </w:pPr>
          </w:p>
        </w:tc>
        <w:tc>
          <w:tcPr>
            <w:tcW w:w="654" w:type="dxa"/>
            <w:noWrap w:val="0"/>
            <w:vAlign w:val="top"/>
          </w:tcPr>
          <w:p>
            <w:pPr>
              <w:rPr>
                <w:rFonts w:hint="default" w:ascii="Times New Roman" w:hAnsi="Times New Roman" w:cs="Times New Roman"/>
                <w:i w:val="0"/>
                <w:color w:val="000000"/>
                <w:sz w:val="20"/>
                <w:szCs w:val="20"/>
                <w:highlight w:val="none"/>
                <w:u w:val="none"/>
              </w:rPr>
            </w:pPr>
          </w:p>
        </w:tc>
        <w:tc>
          <w:tcPr>
            <w:tcW w:w="491" w:type="dxa"/>
            <w:noWrap w:val="0"/>
            <w:vAlign w:val="top"/>
          </w:tcPr>
          <w:p>
            <w:pPr>
              <w:rPr>
                <w:rFonts w:hint="default" w:ascii="Times New Roman" w:hAnsi="Times New Roman" w:cs="Times New Roman"/>
                <w:i w:val="0"/>
                <w:color w:val="000000"/>
                <w:sz w:val="20"/>
                <w:szCs w:val="20"/>
                <w:highlight w:val="none"/>
                <w:u w:val="none"/>
              </w:rPr>
            </w:pPr>
          </w:p>
        </w:tc>
        <w:tc>
          <w:tcPr>
            <w:tcW w:w="696" w:type="dxa"/>
            <w:noWrap w:val="0"/>
            <w:vAlign w:val="top"/>
          </w:tcPr>
          <w:p>
            <w:pPr>
              <w:rPr>
                <w:rFonts w:hint="default" w:ascii="Times New Roman" w:hAnsi="Times New Roman" w:cs="Times New Roman"/>
                <w:i w:val="0"/>
                <w:color w:val="000000"/>
                <w:sz w:val="20"/>
                <w:szCs w:val="20"/>
                <w:highlight w:val="none"/>
                <w:u w:val="none"/>
              </w:rPr>
            </w:pPr>
          </w:p>
        </w:tc>
        <w:tc>
          <w:tcPr>
            <w:tcW w:w="1391" w:type="dxa"/>
            <w:gridSpan w:val="2"/>
            <w:tcBorders>
              <w:bottom w:val="single" w:color="000000" w:sz="4" w:space="0"/>
            </w:tcBorders>
            <w:noWrap w:val="0"/>
            <w:vAlign w:val="top"/>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65" w:hRule="atLeast"/>
          <w:jc w:val="center"/>
        </w:trPr>
        <w:tc>
          <w:tcPr>
            <w:tcW w:w="4981" w:type="dxa"/>
            <w:gridSpan w:val="7"/>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收          入</w:t>
            </w:r>
          </w:p>
        </w:tc>
        <w:tc>
          <w:tcPr>
            <w:tcW w:w="5159" w:type="dxa"/>
            <w:gridSpan w:val="7"/>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jc w:val="center"/>
        </w:trPr>
        <w:tc>
          <w:tcPr>
            <w:tcW w:w="1161" w:type="dxa"/>
            <w:vMerge w:val="restart"/>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项        目</w:t>
            </w:r>
          </w:p>
        </w:tc>
        <w:tc>
          <w:tcPr>
            <w:tcW w:w="1640" w:type="dxa"/>
            <w:gridSpan w:val="3"/>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202</w:t>
            </w:r>
            <w:r>
              <w:rPr>
                <w:rFonts w:hint="default" w:ascii="Times New Roman" w:hAnsi="Times New Roman" w:cs="Times New Roman"/>
                <w:b/>
                <w:i w:val="0"/>
                <w:color w:val="000000"/>
                <w:kern w:val="0"/>
                <w:sz w:val="20"/>
                <w:szCs w:val="20"/>
                <w:u w:val="none"/>
                <w:lang w:val="en-US" w:eastAsia="zh-CN" w:bidi="ar"/>
              </w:rPr>
              <w:t>4</w:t>
            </w:r>
            <w:r>
              <w:rPr>
                <w:rFonts w:hint="default" w:ascii="Times New Roman" w:hAnsi="Times New Roman" w:eastAsia="宋体" w:cs="Times New Roman"/>
                <w:b/>
                <w:i w:val="0"/>
                <w:color w:val="000000"/>
                <w:kern w:val="0"/>
                <w:sz w:val="20"/>
                <w:szCs w:val="20"/>
                <w:u w:val="none"/>
                <w:lang w:val="en-US" w:eastAsia="zh-Hans" w:bidi="ar"/>
              </w:rPr>
              <w:t>完成</w:t>
            </w:r>
            <w:r>
              <w:rPr>
                <w:rFonts w:hint="default" w:ascii="Times New Roman" w:hAnsi="Times New Roman" w:eastAsia="宋体" w:cs="Times New Roman"/>
                <w:b/>
                <w:i w:val="0"/>
                <w:color w:val="000000"/>
                <w:kern w:val="0"/>
                <w:sz w:val="20"/>
                <w:szCs w:val="20"/>
                <w:u w:val="none"/>
                <w:lang w:val="en-US" w:eastAsia="zh-CN" w:bidi="ar"/>
              </w:rPr>
              <w:t>数</w:t>
            </w:r>
          </w:p>
        </w:tc>
        <w:tc>
          <w:tcPr>
            <w:tcW w:w="2180" w:type="dxa"/>
            <w:gridSpan w:val="3"/>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202</w:t>
            </w:r>
            <w:r>
              <w:rPr>
                <w:rFonts w:hint="default" w:ascii="Times New Roman" w:hAnsi="Times New Roman" w:cs="Times New Roman"/>
                <w:b/>
                <w:i w:val="0"/>
                <w:color w:val="000000"/>
                <w:kern w:val="0"/>
                <w:sz w:val="20"/>
                <w:szCs w:val="20"/>
                <w:u w:val="none"/>
                <w:lang w:val="en-US" w:eastAsia="zh-CN" w:bidi="ar"/>
              </w:rPr>
              <w:t>5</w:t>
            </w:r>
            <w:r>
              <w:rPr>
                <w:rFonts w:hint="default" w:ascii="Times New Roman" w:hAnsi="Times New Roman" w:eastAsia="宋体" w:cs="Times New Roman"/>
                <w:b/>
                <w:i w:val="0"/>
                <w:color w:val="000000"/>
                <w:kern w:val="0"/>
                <w:sz w:val="20"/>
                <w:szCs w:val="20"/>
                <w:u w:val="none"/>
                <w:lang w:val="en-US" w:eastAsia="zh-CN" w:bidi="ar"/>
              </w:rPr>
              <w:t>预算数</w:t>
            </w:r>
          </w:p>
        </w:tc>
        <w:tc>
          <w:tcPr>
            <w:tcW w:w="139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项        目</w:t>
            </w:r>
          </w:p>
        </w:tc>
        <w:tc>
          <w:tcPr>
            <w:tcW w:w="1677" w:type="dxa"/>
            <w:gridSpan w:val="3"/>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202</w:t>
            </w:r>
            <w:r>
              <w:rPr>
                <w:rFonts w:hint="default" w:ascii="Times New Roman" w:hAnsi="Times New Roman" w:cs="Times New Roman"/>
                <w:b/>
                <w:i w:val="0"/>
                <w:color w:val="000000"/>
                <w:kern w:val="0"/>
                <w:sz w:val="20"/>
                <w:szCs w:val="20"/>
                <w:u w:val="none"/>
                <w:lang w:val="en-US" w:eastAsia="zh-CN" w:bidi="ar"/>
              </w:rPr>
              <w:t>4</w:t>
            </w:r>
            <w:r>
              <w:rPr>
                <w:rFonts w:hint="default" w:ascii="Times New Roman" w:hAnsi="Times New Roman" w:eastAsia="宋体" w:cs="Times New Roman"/>
                <w:b/>
                <w:i w:val="0"/>
                <w:color w:val="000000"/>
                <w:kern w:val="0"/>
                <w:sz w:val="20"/>
                <w:szCs w:val="20"/>
                <w:u w:val="none"/>
                <w:lang w:val="en-US" w:eastAsia="zh-Hans" w:bidi="ar"/>
              </w:rPr>
              <w:t>完成</w:t>
            </w:r>
            <w:r>
              <w:rPr>
                <w:rFonts w:hint="default" w:ascii="Times New Roman" w:hAnsi="Times New Roman" w:eastAsia="宋体" w:cs="Times New Roman"/>
                <w:b/>
                <w:i w:val="0"/>
                <w:color w:val="000000"/>
                <w:kern w:val="0"/>
                <w:sz w:val="20"/>
                <w:szCs w:val="20"/>
                <w:u w:val="none"/>
                <w:lang w:val="en-US" w:eastAsia="zh-CN" w:bidi="ar"/>
              </w:rPr>
              <w:t>数</w:t>
            </w:r>
          </w:p>
        </w:tc>
        <w:tc>
          <w:tcPr>
            <w:tcW w:w="2087" w:type="dxa"/>
            <w:gridSpan w:val="3"/>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202</w:t>
            </w:r>
            <w:r>
              <w:rPr>
                <w:rFonts w:hint="default" w:ascii="Times New Roman" w:hAnsi="Times New Roman" w:cs="Times New Roman"/>
                <w:b/>
                <w:i w:val="0"/>
                <w:color w:val="000000"/>
                <w:kern w:val="0"/>
                <w:sz w:val="20"/>
                <w:szCs w:val="20"/>
                <w:u w:val="none"/>
                <w:lang w:val="en-US" w:eastAsia="zh-CN" w:bidi="ar"/>
              </w:rPr>
              <w:t>5</w:t>
            </w:r>
            <w:r>
              <w:rPr>
                <w:rFonts w:hint="default" w:ascii="Times New Roman" w:hAnsi="Times New Roman" w:eastAsia="宋体" w:cs="Times New Roman"/>
                <w:b/>
                <w:i w:val="0"/>
                <w:color w:val="000000"/>
                <w:kern w:val="0"/>
                <w:sz w:val="20"/>
                <w:szCs w:val="20"/>
                <w:u w:val="none"/>
                <w:lang w:val="en-US" w:eastAsia="zh-CN" w:bidi="ar"/>
              </w:rPr>
              <w:t>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881"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b/>
                <w:i w:val="0"/>
                <w:color w:val="000000"/>
                <w:sz w:val="20"/>
                <w:szCs w:val="20"/>
                <w:u w:val="none"/>
              </w:rPr>
            </w:pPr>
          </w:p>
        </w:tc>
        <w:tc>
          <w:tcPr>
            <w:tcW w:w="538"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合计</w:t>
            </w:r>
          </w:p>
        </w:tc>
        <w:tc>
          <w:tcPr>
            <w:tcW w:w="583"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cs="Times New Roman"/>
                <w:b/>
                <w:i w:val="0"/>
                <w:color w:val="000000"/>
                <w:kern w:val="0"/>
                <w:sz w:val="20"/>
                <w:szCs w:val="20"/>
                <w:u w:val="none"/>
                <w:lang w:val="en-US" w:eastAsia="zh-CN" w:bidi="ar"/>
              </w:rPr>
              <w:t>泽普县</w:t>
            </w:r>
            <w:r>
              <w:rPr>
                <w:rFonts w:hint="default" w:ascii="Times New Roman" w:hAnsi="Times New Roman" w:eastAsia="宋体" w:cs="Times New Roman"/>
                <w:b/>
                <w:i w:val="0"/>
                <w:color w:val="000000"/>
                <w:kern w:val="0"/>
                <w:sz w:val="20"/>
                <w:szCs w:val="20"/>
                <w:u w:val="none"/>
                <w:lang w:val="en-US" w:eastAsia="zh-CN" w:bidi="ar"/>
              </w:rPr>
              <w:t>本级</w:t>
            </w:r>
          </w:p>
        </w:tc>
        <w:tc>
          <w:tcPr>
            <w:tcW w:w="519"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eastAsia="zh-CN" w:bidi="ar"/>
              </w:rPr>
            </w:pPr>
            <w:r>
              <w:rPr>
                <w:rFonts w:hint="default" w:ascii="Times New Roman" w:hAnsi="Times New Roman" w:eastAsia="宋体" w:cs="Times New Roman"/>
                <w:b/>
                <w:i w:val="0"/>
                <w:color w:val="000000"/>
                <w:kern w:val="0"/>
                <w:sz w:val="20"/>
                <w:szCs w:val="20"/>
                <w:u w:val="none"/>
                <w:lang w:val="en-US" w:eastAsia="zh-CN" w:bidi="ar"/>
              </w:rPr>
              <w:t>地市级</w:t>
            </w:r>
          </w:p>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以下</w:t>
            </w:r>
          </w:p>
        </w:tc>
        <w:tc>
          <w:tcPr>
            <w:tcW w:w="57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合计</w:t>
            </w:r>
          </w:p>
        </w:tc>
        <w:tc>
          <w:tcPr>
            <w:tcW w:w="77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cs="Times New Roman"/>
                <w:b/>
                <w:i w:val="0"/>
                <w:color w:val="000000"/>
                <w:kern w:val="0"/>
                <w:sz w:val="20"/>
                <w:szCs w:val="20"/>
                <w:u w:val="none"/>
                <w:lang w:val="en-US" w:eastAsia="zh-CN" w:bidi="ar"/>
              </w:rPr>
              <w:t>泽普县</w:t>
            </w:r>
            <w:r>
              <w:rPr>
                <w:rFonts w:hint="default" w:ascii="Times New Roman" w:hAnsi="Times New Roman" w:eastAsia="宋体" w:cs="Times New Roman"/>
                <w:b/>
                <w:i w:val="0"/>
                <w:color w:val="000000"/>
                <w:kern w:val="0"/>
                <w:sz w:val="20"/>
                <w:szCs w:val="20"/>
                <w:u w:val="none"/>
                <w:lang w:val="en-US" w:eastAsia="zh-CN" w:bidi="ar"/>
              </w:rPr>
              <w:t>本级</w:t>
            </w:r>
          </w:p>
        </w:tc>
        <w:tc>
          <w:tcPr>
            <w:tcW w:w="828"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eastAsia="zh-CN" w:bidi="ar"/>
              </w:rPr>
            </w:pPr>
            <w:r>
              <w:rPr>
                <w:rFonts w:hint="default" w:ascii="Times New Roman" w:hAnsi="Times New Roman" w:eastAsia="宋体" w:cs="Times New Roman"/>
                <w:b/>
                <w:i w:val="0"/>
                <w:color w:val="000000"/>
                <w:kern w:val="0"/>
                <w:sz w:val="20"/>
                <w:szCs w:val="20"/>
                <w:u w:val="none"/>
                <w:lang w:val="en-US" w:eastAsia="zh-CN" w:bidi="ar"/>
              </w:rPr>
              <w:t>地市级</w:t>
            </w:r>
          </w:p>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以下</w:t>
            </w:r>
          </w:p>
        </w:tc>
        <w:tc>
          <w:tcPr>
            <w:tcW w:w="1395"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b/>
                <w:i w:val="0"/>
                <w:color w:val="000000"/>
                <w:sz w:val="20"/>
                <w:szCs w:val="20"/>
                <w:u w:val="none"/>
              </w:rPr>
            </w:pPr>
          </w:p>
        </w:tc>
        <w:tc>
          <w:tcPr>
            <w:tcW w:w="532"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合计</w:t>
            </w:r>
          </w:p>
        </w:tc>
        <w:tc>
          <w:tcPr>
            <w:tcW w:w="654"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cs="Times New Roman"/>
                <w:b/>
                <w:i w:val="0"/>
                <w:color w:val="000000"/>
                <w:kern w:val="0"/>
                <w:sz w:val="20"/>
                <w:szCs w:val="20"/>
                <w:u w:val="none"/>
                <w:lang w:val="en-US" w:eastAsia="zh-CN" w:bidi="ar"/>
              </w:rPr>
              <w:t>泽普县</w:t>
            </w:r>
            <w:r>
              <w:rPr>
                <w:rFonts w:hint="default" w:ascii="Times New Roman" w:hAnsi="Times New Roman" w:eastAsia="宋体" w:cs="Times New Roman"/>
                <w:b/>
                <w:i w:val="0"/>
                <w:color w:val="000000"/>
                <w:kern w:val="0"/>
                <w:sz w:val="20"/>
                <w:szCs w:val="20"/>
                <w:u w:val="none"/>
                <w:lang w:val="en-US" w:eastAsia="zh-CN" w:bidi="ar"/>
              </w:rPr>
              <w:t>本级</w:t>
            </w:r>
          </w:p>
        </w:tc>
        <w:tc>
          <w:tcPr>
            <w:tcW w:w="491"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eastAsia="zh-CN" w:bidi="ar"/>
              </w:rPr>
            </w:pPr>
            <w:r>
              <w:rPr>
                <w:rFonts w:hint="default" w:ascii="Times New Roman" w:hAnsi="Times New Roman" w:eastAsia="宋体" w:cs="Times New Roman"/>
                <w:b/>
                <w:i w:val="0"/>
                <w:color w:val="000000"/>
                <w:kern w:val="0"/>
                <w:sz w:val="20"/>
                <w:szCs w:val="20"/>
                <w:u w:val="none"/>
                <w:lang w:val="en-US" w:eastAsia="zh-CN" w:bidi="ar"/>
              </w:rPr>
              <w:t>地市级</w:t>
            </w:r>
          </w:p>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以下</w:t>
            </w:r>
          </w:p>
        </w:tc>
        <w:tc>
          <w:tcPr>
            <w:tcW w:w="696"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合计</w:t>
            </w:r>
          </w:p>
        </w:tc>
        <w:tc>
          <w:tcPr>
            <w:tcW w:w="763"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cs="Times New Roman"/>
                <w:b/>
                <w:i w:val="0"/>
                <w:color w:val="000000"/>
                <w:kern w:val="0"/>
                <w:sz w:val="20"/>
                <w:szCs w:val="20"/>
                <w:u w:val="none"/>
                <w:lang w:val="en-US" w:eastAsia="zh-CN" w:bidi="ar"/>
              </w:rPr>
              <w:t>泽普县</w:t>
            </w:r>
            <w:r>
              <w:rPr>
                <w:rFonts w:hint="default" w:ascii="Times New Roman" w:hAnsi="Times New Roman" w:eastAsia="宋体" w:cs="Times New Roman"/>
                <w:b/>
                <w:i w:val="0"/>
                <w:color w:val="000000"/>
                <w:kern w:val="0"/>
                <w:sz w:val="20"/>
                <w:szCs w:val="20"/>
                <w:u w:val="none"/>
                <w:lang w:val="en-US" w:eastAsia="zh-CN" w:bidi="ar"/>
              </w:rPr>
              <w:t>本级</w:t>
            </w:r>
          </w:p>
        </w:tc>
        <w:tc>
          <w:tcPr>
            <w:tcW w:w="628"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eastAsia="zh-CN" w:bidi="ar"/>
              </w:rPr>
            </w:pPr>
            <w:r>
              <w:rPr>
                <w:rFonts w:hint="default" w:ascii="Times New Roman" w:hAnsi="Times New Roman" w:eastAsia="宋体" w:cs="Times New Roman"/>
                <w:b/>
                <w:i w:val="0"/>
                <w:color w:val="000000"/>
                <w:kern w:val="0"/>
                <w:sz w:val="20"/>
                <w:szCs w:val="20"/>
                <w:u w:val="none"/>
                <w:lang w:val="en-US" w:eastAsia="zh-CN" w:bidi="ar"/>
              </w:rPr>
              <w:t>地市级</w:t>
            </w:r>
          </w:p>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以下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jc w:val="center"/>
        </w:trPr>
        <w:tc>
          <w:tcPr>
            <w:tcW w:w="1161"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一、利润收入</w:t>
            </w:r>
          </w:p>
        </w:tc>
        <w:tc>
          <w:tcPr>
            <w:tcW w:w="538"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897</w:t>
            </w:r>
          </w:p>
        </w:tc>
        <w:tc>
          <w:tcPr>
            <w:tcW w:w="583"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lang w:val="en-US"/>
              </w:rPr>
            </w:pPr>
            <w:r>
              <w:rPr>
                <w:rFonts w:hint="default" w:ascii="Times New Roman" w:hAnsi="Times New Roman" w:eastAsia="等线" w:cs="Times New Roman"/>
                <w:i w:val="0"/>
                <w:color w:val="000000"/>
                <w:kern w:val="0"/>
                <w:sz w:val="22"/>
                <w:szCs w:val="22"/>
                <w:u w:val="none"/>
                <w:lang w:val="en-US" w:eastAsia="zh-CN" w:bidi="ar"/>
              </w:rPr>
              <w:t>897</w:t>
            </w:r>
          </w:p>
        </w:tc>
        <w:tc>
          <w:tcPr>
            <w:tcW w:w="519"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rPr>
            </w:pPr>
          </w:p>
        </w:tc>
        <w:tc>
          <w:tcPr>
            <w:tcW w:w="575"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1013</w:t>
            </w:r>
          </w:p>
        </w:tc>
        <w:tc>
          <w:tcPr>
            <w:tcW w:w="777"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1013</w:t>
            </w:r>
          </w:p>
        </w:tc>
        <w:tc>
          <w:tcPr>
            <w:tcW w:w="828"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rPr>
            </w:pPr>
          </w:p>
        </w:tc>
        <w:tc>
          <w:tcPr>
            <w:tcW w:w="139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一、解决历史遗留问题及改革成本支出</w:t>
            </w:r>
          </w:p>
        </w:tc>
        <w:tc>
          <w:tcPr>
            <w:tcW w:w="532"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5</w:t>
            </w:r>
          </w:p>
        </w:tc>
        <w:tc>
          <w:tcPr>
            <w:tcW w:w="654"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5</w:t>
            </w:r>
          </w:p>
        </w:tc>
        <w:tc>
          <w:tcPr>
            <w:tcW w:w="491"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rPr>
            </w:pPr>
          </w:p>
        </w:tc>
        <w:tc>
          <w:tcPr>
            <w:tcW w:w="696"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5</w:t>
            </w:r>
          </w:p>
        </w:tc>
        <w:tc>
          <w:tcPr>
            <w:tcW w:w="763"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5</w:t>
            </w:r>
          </w:p>
        </w:tc>
        <w:tc>
          <w:tcPr>
            <w:tcW w:w="628"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jc w:val="center"/>
        </w:trPr>
        <w:tc>
          <w:tcPr>
            <w:tcW w:w="1161"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二、股利、股息收入</w:t>
            </w:r>
          </w:p>
        </w:tc>
        <w:tc>
          <w:tcPr>
            <w:tcW w:w="538"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rPr>
            </w:pPr>
          </w:p>
        </w:tc>
        <w:tc>
          <w:tcPr>
            <w:tcW w:w="583"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519"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575"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777"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828"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139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二、国有企业资本金注入</w:t>
            </w:r>
          </w:p>
        </w:tc>
        <w:tc>
          <w:tcPr>
            <w:tcW w:w="532"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lang w:val="en-US" w:eastAsia="zh-CN"/>
              </w:rPr>
            </w:pPr>
          </w:p>
        </w:tc>
        <w:tc>
          <w:tcPr>
            <w:tcW w:w="654"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lang w:val="en-US" w:eastAsia="zh-CN"/>
              </w:rPr>
            </w:pPr>
          </w:p>
        </w:tc>
        <w:tc>
          <w:tcPr>
            <w:tcW w:w="491"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rPr>
            </w:pPr>
          </w:p>
        </w:tc>
        <w:tc>
          <w:tcPr>
            <w:tcW w:w="696"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500</w:t>
            </w:r>
          </w:p>
        </w:tc>
        <w:tc>
          <w:tcPr>
            <w:tcW w:w="763"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500</w:t>
            </w:r>
          </w:p>
        </w:tc>
        <w:tc>
          <w:tcPr>
            <w:tcW w:w="628"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jc w:val="center"/>
        </w:trPr>
        <w:tc>
          <w:tcPr>
            <w:tcW w:w="1161"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三、产权转让收入</w:t>
            </w:r>
          </w:p>
        </w:tc>
        <w:tc>
          <w:tcPr>
            <w:tcW w:w="538"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rPr>
            </w:pPr>
          </w:p>
        </w:tc>
        <w:tc>
          <w:tcPr>
            <w:tcW w:w="583"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519"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575"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777"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828"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139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三、国有企业政策性补贴</w:t>
            </w:r>
          </w:p>
        </w:tc>
        <w:tc>
          <w:tcPr>
            <w:tcW w:w="532"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rPr>
            </w:pPr>
          </w:p>
        </w:tc>
        <w:tc>
          <w:tcPr>
            <w:tcW w:w="654"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696"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rPr>
            </w:pPr>
          </w:p>
        </w:tc>
        <w:tc>
          <w:tcPr>
            <w:tcW w:w="763"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628"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jc w:val="center"/>
        </w:trPr>
        <w:tc>
          <w:tcPr>
            <w:tcW w:w="1161"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四、清算收入</w:t>
            </w:r>
          </w:p>
        </w:tc>
        <w:tc>
          <w:tcPr>
            <w:tcW w:w="538"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rPr>
            </w:pPr>
          </w:p>
        </w:tc>
        <w:tc>
          <w:tcPr>
            <w:tcW w:w="583"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519"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575"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777"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828"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139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四、其他国有资本经营预算支出</w:t>
            </w:r>
          </w:p>
        </w:tc>
        <w:tc>
          <w:tcPr>
            <w:tcW w:w="532"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10</w:t>
            </w:r>
          </w:p>
        </w:tc>
        <w:tc>
          <w:tcPr>
            <w:tcW w:w="654"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10</w:t>
            </w:r>
          </w:p>
        </w:tc>
        <w:tc>
          <w:tcPr>
            <w:tcW w:w="491"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696"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rPr>
            </w:pPr>
          </w:p>
        </w:tc>
        <w:tc>
          <w:tcPr>
            <w:tcW w:w="763"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628"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jc w:val="center"/>
        </w:trPr>
        <w:tc>
          <w:tcPr>
            <w:tcW w:w="1161"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五、其他国有资本经营预算收入</w:t>
            </w:r>
          </w:p>
        </w:tc>
        <w:tc>
          <w:tcPr>
            <w:tcW w:w="538"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rPr>
            </w:pPr>
          </w:p>
        </w:tc>
        <w:tc>
          <w:tcPr>
            <w:tcW w:w="583"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519"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575"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777"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828"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1395"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default" w:ascii="Times New Roman" w:hAnsi="Times New Roman" w:eastAsia="宋体" w:cs="Times New Roman"/>
                <w:i w:val="0"/>
                <w:color w:val="000000"/>
                <w:sz w:val="20"/>
                <w:szCs w:val="20"/>
                <w:u w:val="none"/>
              </w:rPr>
            </w:pPr>
          </w:p>
        </w:tc>
        <w:tc>
          <w:tcPr>
            <w:tcW w:w="532"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rPr>
            </w:pPr>
          </w:p>
        </w:tc>
        <w:tc>
          <w:tcPr>
            <w:tcW w:w="654"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696"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rPr>
            </w:pPr>
          </w:p>
        </w:tc>
        <w:tc>
          <w:tcPr>
            <w:tcW w:w="763"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628"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jc w:val="center"/>
        </w:trPr>
        <w:tc>
          <w:tcPr>
            <w:tcW w:w="1161"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default" w:ascii="Times New Roman" w:hAnsi="Times New Roman" w:eastAsia="宋体" w:cs="Times New Roman"/>
                <w:i w:val="0"/>
                <w:color w:val="000000"/>
                <w:sz w:val="20"/>
                <w:szCs w:val="20"/>
                <w:u w:val="none"/>
              </w:rPr>
            </w:pPr>
          </w:p>
        </w:tc>
        <w:tc>
          <w:tcPr>
            <w:tcW w:w="538"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rPr>
            </w:pPr>
          </w:p>
        </w:tc>
        <w:tc>
          <w:tcPr>
            <w:tcW w:w="583"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519"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575"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b/>
                <w:i w:val="0"/>
                <w:color w:val="000000"/>
                <w:sz w:val="20"/>
                <w:szCs w:val="20"/>
                <w:u w:val="none"/>
              </w:rPr>
            </w:pPr>
          </w:p>
        </w:tc>
        <w:tc>
          <w:tcPr>
            <w:tcW w:w="777"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828"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1395"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rPr>
            </w:pPr>
          </w:p>
        </w:tc>
        <w:tc>
          <w:tcPr>
            <w:tcW w:w="532"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rPr>
            </w:pPr>
          </w:p>
        </w:tc>
        <w:tc>
          <w:tcPr>
            <w:tcW w:w="654"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696"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rPr>
            </w:pPr>
          </w:p>
        </w:tc>
        <w:tc>
          <w:tcPr>
            <w:tcW w:w="763"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628"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jc w:val="center"/>
        </w:trPr>
        <w:tc>
          <w:tcPr>
            <w:tcW w:w="1161"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default" w:ascii="Times New Roman" w:hAnsi="Times New Roman" w:eastAsia="宋体" w:cs="Times New Roman"/>
                <w:i w:val="0"/>
                <w:color w:val="000000"/>
                <w:sz w:val="20"/>
                <w:szCs w:val="20"/>
                <w:u w:val="none"/>
              </w:rPr>
            </w:pPr>
          </w:p>
        </w:tc>
        <w:tc>
          <w:tcPr>
            <w:tcW w:w="538"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rPr>
            </w:pPr>
          </w:p>
        </w:tc>
        <w:tc>
          <w:tcPr>
            <w:tcW w:w="583"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519"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575"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b/>
                <w:i w:val="0"/>
                <w:color w:val="000000"/>
                <w:sz w:val="20"/>
                <w:szCs w:val="20"/>
                <w:u w:val="none"/>
              </w:rPr>
            </w:pPr>
          </w:p>
        </w:tc>
        <w:tc>
          <w:tcPr>
            <w:tcW w:w="777"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828"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1395"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rPr>
            </w:pPr>
          </w:p>
        </w:tc>
        <w:tc>
          <w:tcPr>
            <w:tcW w:w="532"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rPr>
            </w:pPr>
          </w:p>
        </w:tc>
        <w:tc>
          <w:tcPr>
            <w:tcW w:w="654"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696"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rPr>
            </w:pPr>
          </w:p>
        </w:tc>
        <w:tc>
          <w:tcPr>
            <w:tcW w:w="763"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628"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jc w:val="center"/>
        </w:trPr>
        <w:tc>
          <w:tcPr>
            <w:tcW w:w="1161"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default" w:ascii="Times New Roman" w:hAnsi="Times New Roman" w:eastAsia="宋体" w:cs="Times New Roman"/>
                <w:i w:val="0"/>
                <w:color w:val="000000"/>
                <w:sz w:val="20"/>
                <w:szCs w:val="20"/>
                <w:u w:val="none"/>
              </w:rPr>
            </w:pPr>
          </w:p>
        </w:tc>
        <w:tc>
          <w:tcPr>
            <w:tcW w:w="538"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rPr>
            </w:pPr>
          </w:p>
        </w:tc>
        <w:tc>
          <w:tcPr>
            <w:tcW w:w="583"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519"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575"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b/>
                <w:i w:val="0"/>
                <w:color w:val="000000"/>
                <w:sz w:val="20"/>
                <w:szCs w:val="20"/>
                <w:u w:val="none"/>
              </w:rPr>
            </w:pPr>
          </w:p>
        </w:tc>
        <w:tc>
          <w:tcPr>
            <w:tcW w:w="777"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828"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1395"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rPr>
            </w:pPr>
          </w:p>
        </w:tc>
        <w:tc>
          <w:tcPr>
            <w:tcW w:w="532"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rPr>
            </w:pPr>
          </w:p>
        </w:tc>
        <w:tc>
          <w:tcPr>
            <w:tcW w:w="654"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696"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rPr>
            </w:pPr>
          </w:p>
        </w:tc>
        <w:tc>
          <w:tcPr>
            <w:tcW w:w="763"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628"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jc w:val="center"/>
        </w:trPr>
        <w:tc>
          <w:tcPr>
            <w:tcW w:w="1161"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收入合计</w:t>
            </w:r>
          </w:p>
        </w:tc>
        <w:tc>
          <w:tcPr>
            <w:tcW w:w="538"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b/>
                <w:bCs/>
                <w:i w:val="0"/>
                <w:color w:val="000000"/>
                <w:sz w:val="20"/>
                <w:szCs w:val="20"/>
                <w:u w:val="none"/>
              </w:rPr>
            </w:pPr>
            <w:r>
              <w:rPr>
                <w:rFonts w:hint="default" w:ascii="Times New Roman" w:hAnsi="Times New Roman" w:cs="Times New Roman"/>
                <w:b/>
                <w:bCs/>
                <w:i w:val="0"/>
                <w:color w:val="000000"/>
                <w:sz w:val="20"/>
                <w:szCs w:val="20"/>
                <w:u w:val="none"/>
                <w:lang w:val="en-US" w:eastAsia="zh-CN"/>
              </w:rPr>
              <w:t>897</w:t>
            </w:r>
          </w:p>
        </w:tc>
        <w:tc>
          <w:tcPr>
            <w:tcW w:w="583"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lang w:val="en-US"/>
              </w:rPr>
            </w:pPr>
            <w:r>
              <w:rPr>
                <w:rFonts w:hint="default" w:ascii="Times New Roman" w:hAnsi="Times New Roman" w:eastAsia="等线" w:cs="Times New Roman"/>
                <w:b/>
                <w:bCs/>
                <w:i w:val="0"/>
                <w:color w:val="000000"/>
                <w:kern w:val="0"/>
                <w:sz w:val="22"/>
                <w:szCs w:val="22"/>
                <w:u w:val="none"/>
                <w:lang w:val="en-US" w:eastAsia="zh-CN" w:bidi="ar"/>
              </w:rPr>
              <w:t>897</w:t>
            </w:r>
          </w:p>
        </w:tc>
        <w:tc>
          <w:tcPr>
            <w:tcW w:w="519"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b/>
                <w:bCs/>
                <w:i w:val="0"/>
                <w:color w:val="000000"/>
                <w:sz w:val="20"/>
                <w:szCs w:val="20"/>
                <w:u w:val="none"/>
              </w:rPr>
            </w:pPr>
          </w:p>
        </w:tc>
        <w:tc>
          <w:tcPr>
            <w:tcW w:w="575"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b/>
                <w:bCs/>
                <w:i w:val="0"/>
                <w:color w:val="000000"/>
                <w:sz w:val="20"/>
                <w:szCs w:val="20"/>
                <w:u w:val="none"/>
                <w:lang w:val="en-US"/>
              </w:rPr>
            </w:pPr>
            <w:r>
              <w:rPr>
                <w:rFonts w:hint="default" w:ascii="Times New Roman" w:hAnsi="Times New Roman" w:cs="Times New Roman"/>
                <w:b/>
                <w:bCs/>
                <w:i w:val="0"/>
                <w:color w:val="000000"/>
                <w:sz w:val="20"/>
                <w:szCs w:val="20"/>
                <w:u w:val="none"/>
                <w:lang w:val="en-US" w:eastAsia="zh-CN"/>
              </w:rPr>
              <w:t>1013</w:t>
            </w:r>
          </w:p>
        </w:tc>
        <w:tc>
          <w:tcPr>
            <w:tcW w:w="777" w:type="dxa"/>
            <w:tcBorders>
              <w:top w:val="single" w:color="000000" w:sz="4" w:space="0"/>
              <w:left w:val="single" w:color="000000" w:sz="4" w:space="0"/>
              <w:bottom w:val="single" w:color="auto" w:sz="4" w:space="0"/>
              <w:right w:val="single" w:color="000000" w:sz="4" w:space="0"/>
            </w:tcBorders>
            <w:noWrap w:val="0"/>
            <w:vAlign w:val="top"/>
          </w:tcPr>
          <w:p>
            <w:pPr>
              <w:jc w:val="center"/>
              <w:rPr>
                <w:rFonts w:hint="default" w:ascii="Times New Roman" w:hAnsi="Times New Roman" w:eastAsia="宋体" w:cs="Times New Roman"/>
                <w:b/>
                <w:bCs/>
                <w:i w:val="0"/>
                <w:color w:val="000000"/>
                <w:sz w:val="20"/>
                <w:szCs w:val="20"/>
                <w:u w:val="none"/>
                <w:lang w:val="en-US"/>
              </w:rPr>
            </w:pPr>
            <w:r>
              <w:rPr>
                <w:rFonts w:hint="default" w:ascii="Times New Roman" w:hAnsi="Times New Roman" w:cs="Times New Roman"/>
                <w:b/>
                <w:bCs/>
                <w:i w:val="0"/>
                <w:color w:val="000000"/>
                <w:sz w:val="20"/>
                <w:szCs w:val="20"/>
                <w:u w:val="none"/>
                <w:lang w:val="en-US" w:eastAsia="zh-CN"/>
              </w:rPr>
              <w:t>1013</w:t>
            </w:r>
          </w:p>
        </w:tc>
        <w:tc>
          <w:tcPr>
            <w:tcW w:w="828" w:type="dxa"/>
            <w:tcBorders>
              <w:top w:val="single" w:color="000000" w:sz="4" w:space="0"/>
              <w:left w:val="single" w:color="000000" w:sz="4" w:space="0"/>
              <w:bottom w:val="single" w:color="auto" w:sz="4" w:space="0"/>
              <w:right w:val="single" w:color="000000" w:sz="4" w:space="0"/>
            </w:tcBorders>
            <w:noWrap w:val="0"/>
            <w:vAlign w:val="top"/>
          </w:tcPr>
          <w:p>
            <w:pPr>
              <w:jc w:val="right"/>
              <w:rPr>
                <w:rFonts w:hint="default" w:ascii="Times New Roman" w:hAnsi="Times New Roman" w:eastAsia="宋体" w:cs="Times New Roman"/>
                <w:b/>
                <w:bCs/>
                <w:i w:val="0"/>
                <w:color w:val="000000"/>
                <w:sz w:val="20"/>
                <w:szCs w:val="20"/>
                <w:u w:val="none"/>
              </w:rPr>
            </w:pPr>
          </w:p>
        </w:tc>
        <w:tc>
          <w:tcPr>
            <w:tcW w:w="139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支出合计</w:t>
            </w:r>
          </w:p>
        </w:tc>
        <w:tc>
          <w:tcPr>
            <w:tcW w:w="532"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b/>
                <w:bCs/>
                <w:i w:val="0"/>
                <w:color w:val="000000"/>
                <w:sz w:val="20"/>
                <w:szCs w:val="20"/>
                <w:u w:val="none"/>
                <w:lang w:val="en-US" w:eastAsia="zh-CN"/>
              </w:rPr>
            </w:pPr>
            <w:r>
              <w:rPr>
                <w:rFonts w:hint="default" w:ascii="Times New Roman" w:hAnsi="Times New Roman" w:cs="Times New Roman"/>
                <w:b/>
                <w:bCs/>
                <w:i w:val="0"/>
                <w:color w:val="000000"/>
                <w:sz w:val="20"/>
                <w:szCs w:val="20"/>
                <w:u w:val="none"/>
                <w:lang w:val="en-US" w:eastAsia="zh-CN"/>
              </w:rPr>
              <w:t>15</w:t>
            </w:r>
          </w:p>
        </w:tc>
        <w:tc>
          <w:tcPr>
            <w:tcW w:w="654"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b/>
                <w:bCs/>
                <w:i w:val="0"/>
                <w:color w:val="000000"/>
                <w:sz w:val="20"/>
                <w:szCs w:val="20"/>
                <w:u w:val="none"/>
              </w:rPr>
            </w:pPr>
            <w:r>
              <w:rPr>
                <w:rFonts w:hint="default" w:ascii="Times New Roman" w:hAnsi="Times New Roman" w:cs="Times New Roman"/>
                <w:b/>
                <w:bCs/>
                <w:i w:val="0"/>
                <w:color w:val="000000"/>
                <w:sz w:val="20"/>
                <w:szCs w:val="20"/>
                <w:u w:val="none"/>
                <w:lang w:val="en-US" w:eastAsia="zh-CN"/>
              </w:rPr>
              <w:t>15</w:t>
            </w:r>
          </w:p>
        </w:tc>
        <w:tc>
          <w:tcPr>
            <w:tcW w:w="491"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b/>
                <w:bCs/>
                <w:i w:val="0"/>
                <w:color w:val="000000"/>
                <w:sz w:val="20"/>
                <w:szCs w:val="20"/>
                <w:u w:val="none"/>
              </w:rPr>
            </w:pPr>
          </w:p>
        </w:tc>
        <w:tc>
          <w:tcPr>
            <w:tcW w:w="696"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b/>
                <w:bCs/>
                <w:i w:val="0"/>
                <w:color w:val="000000"/>
                <w:sz w:val="20"/>
                <w:szCs w:val="20"/>
                <w:u w:val="none"/>
                <w:lang w:val="en-US"/>
              </w:rPr>
            </w:pPr>
            <w:r>
              <w:rPr>
                <w:rFonts w:hint="default" w:ascii="Times New Roman" w:hAnsi="Times New Roman" w:cs="Times New Roman"/>
                <w:b/>
                <w:bCs/>
                <w:i w:val="0"/>
                <w:color w:val="000000"/>
                <w:sz w:val="20"/>
                <w:szCs w:val="20"/>
                <w:u w:val="none"/>
                <w:lang w:val="en-US" w:eastAsia="zh-CN"/>
              </w:rPr>
              <w:t>505</w:t>
            </w:r>
          </w:p>
        </w:tc>
        <w:tc>
          <w:tcPr>
            <w:tcW w:w="763"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b/>
                <w:bCs/>
                <w:i w:val="0"/>
                <w:color w:val="000000"/>
                <w:sz w:val="20"/>
                <w:szCs w:val="20"/>
                <w:u w:val="none"/>
                <w:lang w:val="en-US" w:eastAsia="zh-CN"/>
              </w:rPr>
            </w:pPr>
            <w:r>
              <w:rPr>
                <w:rFonts w:hint="default" w:ascii="Times New Roman" w:hAnsi="Times New Roman" w:cs="Times New Roman"/>
                <w:b/>
                <w:bCs/>
                <w:i w:val="0"/>
                <w:color w:val="000000"/>
                <w:sz w:val="20"/>
                <w:szCs w:val="20"/>
                <w:u w:val="none"/>
                <w:lang w:val="en-US" w:eastAsia="zh-CN"/>
              </w:rPr>
              <w:t>505</w:t>
            </w:r>
          </w:p>
        </w:tc>
        <w:tc>
          <w:tcPr>
            <w:tcW w:w="628"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b/>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jc w:val="center"/>
        </w:trPr>
        <w:tc>
          <w:tcPr>
            <w:tcW w:w="1161"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转移支付收入</w:t>
            </w:r>
          </w:p>
        </w:tc>
        <w:tc>
          <w:tcPr>
            <w:tcW w:w="538"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5</w:t>
            </w:r>
          </w:p>
        </w:tc>
        <w:tc>
          <w:tcPr>
            <w:tcW w:w="583"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5</w:t>
            </w:r>
          </w:p>
        </w:tc>
        <w:tc>
          <w:tcPr>
            <w:tcW w:w="519"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rPr>
            </w:pPr>
          </w:p>
        </w:tc>
        <w:tc>
          <w:tcPr>
            <w:tcW w:w="575" w:type="dxa"/>
            <w:tcBorders>
              <w:top w:val="single" w:color="000000" w:sz="4" w:space="0"/>
              <w:left w:val="single" w:color="000000" w:sz="4" w:space="0"/>
              <w:bottom w:val="single" w:color="000000" w:sz="4" w:space="0"/>
              <w:right w:val="single" w:color="auto" w:sz="4" w:space="0"/>
            </w:tcBorders>
            <w:noWrap w:val="0"/>
            <w:vAlign w:val="top"/>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5</w:t>
            </w:r>
          </w:p>
        </w:tc>
        <w:tc>
          <w:tcPr>
            <w:tcW w:w="777" w:type="dxa"/>
            <w:tcBorders>
              <w:top w:val="single" w:color="auto" w:sz="4" w:space="0"/>
              <w:left w:val="single" w:color="auto" w:sz="4" w:space="0"/>
              <w:bottom w:val="single" w:color="auto" w:sz="4" w:space="0"/>
              <w:right w:val="single" w:color="auto" w:sz="4" w:space="0"/>
            </w:tcBorders>
            <w:noWrap w:val="0"/>
            <w:vAlign w:val="top"/>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5</w:t>
            </w:r>
          </w:p>
        </w:tc>
        <w:tc>
          <w:tcPr>
            <w:tcW w:w="828"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1395" w:type="dxa"/>
            <w:tcBorders>
              <w:top w:val="single" w:color="000000" w:sz="4" w:space="0"/>
              <w:left w:val="single" w:color="auto" w:sz="4" w:space="0"/>
              <w:bottom w:val="single" w:color="000000" w:sz="4" w:space="0"/>
              <w:right w:val="single" w:color="000000" w:sz="4" w:space="0"/>
            </w:tcBorders>
            <w:noWrap w:val="0"/>
            <w:vAlign w:val="top"/>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转移支付支出</w:t>
            </w:r>
          </w:p>
        </w:tc>
        <w:tc>
          <w:tcPr>
            <w:tcW w:w="532"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887</w:t>
            </w:r>
          </w:p>
        </w:tc>
        <w:tc>
          <w:tcPr>
            <w:tcW w:w="654"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887</w:t>
            </w:r>
          </w:p>
        </w:tc>
        <w:tc>
          <w:tcPr>
            <w:tcW w:w="491"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rPr>
            </w:pPr>
          </w:p>
        </w:tc>
        <w:tc>
          <w:tcPr>
            <w:tcW w:w="696"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513</w:t>
            </w:r>
          </w:p>
        </w:tc>
        <w:tc>
          <w:tcPr>
            <w:tcW w:w="763"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513</w:t>
            </w:r>
          </w:p>
        </w:tc>
        <w:tc>
          <w:tcPr>
            <w:tcW w:w="628"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jc w:val="center"/>
        </w:trPr>
        <w:tc>
          <w:tcPr>
            <w:tcW w:w="1161"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国有资本经营</w:t>
            </w:r>
            <w:r>
              <w:rPr>
                <w:rFonts w:hint="default" w:ascii="Times New Roman" w:hAnsi="Times New Roman" w:cs="Times New Roman"/>
                <w:i w:val="0"/>
                <w:color w:val="000000"/>
                <w:kern w:val="0"/>
                <w:sz w:val="20"/>
                <w:szCs w:val="20"/>
                <w:u w:val="none"/>
                <w:lang w:val="en-US" w:eastAsia="zh-CN" w:bidi="ar"/>
              </w:rPr>
              <w:t>预算转移支付收入</w:t>
            </w:r>
          </w:p>
        </w:tc>
        <w:tc>
          <w:tcPr>
            <w:tcW w:w="538"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lang w:val="en-US" w:eastAsia="zh-CN"/>
              </w:rPr>
            </w:pPr>
          </w:p>
        </w:tc>
        <w:tc>
          <w:tcPr>
            <w:tcW w:w="583"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lang w:val="en-US" w:eastAsia="zh-CN"/>
              </w:rPr>
            </w:pPr>
          </w:p>
        </w:tc>
        <w:tc>
          <w:tcPr>
            <w:tcW w:w="519" w:type="dxa"/>
            <w:noWrap w:val="0"/>
            <w:vAlign w:val="top"/>
          </w:tcPr>
          <w:p>
            <w:pPr>
              <w:jc w:val="center"/>
              <w:rPr>
                <w:rFonts w:hint="default" w:ascii="Times New Roman" w:hAnsi="Times New Roman" w:eastAsia="宋体" w:cs="Times New Roman"/>
                <w:i w:val="0"/>
                <w:color w:val="000000"/>
                <w:sz w:val="20"/>
                <w:szCs w:val="20"/>
                <w:u w:val="none"/>
              </w:rPr>
            </w:pPr>
          </w:p>
        </w:tc>
        <w:tc>
          <w:tcPr>
            <w:tcW w:w="575"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lang w:val="en-US" w:eastAsia="zh-CN"/>
              </w:rPr>
            </w:pPr>
          </w:p>
        </w:tc>
        <w:tc>
          <w:tcPr>
            <w:tcW w:w="777" w:type="dxa"/>
            <w:tcBorders>
              <w:top w:val="single" w:color="auto"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lang w:val="en-US" w:eastAsia="zh-CN"/>
              </w:rPr>
            </w:pPr>
          </w:p>
        </w:tc>
        <w:tc>
          <w:tcPr>
            <w:tcW w:w="828" w:type="dxa"/>
            <w:tcBorders>
              <w:top w:val="single" w:color="auto"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139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国有资本经营预算</w:t>
            </w:r>
            <w:r>
              <w:rPr>
                <w:rFonts w:hint="default" w:ascii="Times New Roman" w:hAnsi="Times New Roman" w:cs="Times New Roman"/>
                <w:i w:val="0"/>
                <w:color w:val="000000"/>
                <w:kern w:val="0"/>
                <w:sz w:val="20"/>
                <w:szCs w:val="20"/>
                <w:u w:val="none"/>
                <w:lang w:val="en-US" w:eastAsia="zh-CN" w:bidi="ar"/>
              </w:rPr>
              <w:t>转移支付支出</w:t>
            </w:r>
          </w:p>
        </w:tc>
        <w:tc>
          <w:tcPr>
            <w:tcW w:w="532"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rPr>
            </w:pPr>
          </w:p>
        </w:tc>
        <w:tc>
          <w:tcPr>
            <w:tcW w:w="654"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696"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763"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628"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jc w:val="center"/>
        </w:trPr>
        <w:tc>
          <w:tcPr>
            <w:tcW w:w="1161"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p>
        </w:tc>
        <w:tc>
          <w:tcPr>
            <w:tcW w:w="538"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rPr>
            </w:pPr>
          </w:p>
        </w:tc>
        <w:tc>
          <w:tcPr>
            <w:tcW w:w="583"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519"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575"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777"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828"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139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国有资本经营预算调出资金</w:t>
            </w:r>
          </w:p>
        </w:tc>
        <w:tc>
          <w:tcPr>
            <w:tcW w:w="532"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default" w:ascii="Times New Roman" w:hAnsi="Times New Roman" w:eastAsia="宋体" w:cs="Times New Roman"/>
                <w:i w:val="0"/>
                <w:color w:val="000000"/>
                <w:sz w:val="20"/>
                <w:szCs w:val="20"/>
                <w:u w:val="none"/>
                <w:lang w:val="en-US" w:eastAsia="zh-CN"/>
              </w:rPr>
            </w:pPr>
          </w:p>
        </w:tc>
        <w:tc>
          <w:tcPr>
            <w:tcW w:w="654"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696"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lang w:val="en-US" w:eastAsia="zh-CN"/>
              </w:rPr>
            </w:pPr>
          </w:p>
        </w:tc>
        <w:tc>
          <w:tcPr>
            <w:tcW w:w="763"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lang w:val="en-US" w:eastAsia="zh-CN"/>
              </w:rPr>
            </w:pPr>
          </w:p>
        </w:tc>
        <w:tc>
          <w:tcPr>
            <w:tcW w:w="628"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jc w:val="center"/>
        </w:trPr>
        <w:tc>
          <w:tcPr>
            <w:tcW w:w="1161"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default" w:ascii="Times New Roman" w:hAnsi="Times New Roman" w:eastAsia="宋体" w:cs="Times New Roman"/>
                <w:i w:val="0"/>
                <w:color w:val="000000"/>
                <w:sz w:val="20"/>
                <w:szCs w:val="20"/>
                <w:u w:val="none"/>
              </w:rPr>
            </w:pPr>
          </w:p>
        </w:tc>
        <w:tc>
          <w:tcPr>
            <w:tcW w:w="538"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rPr>
            </w:pPr>
          </w:p>
        </w:tc>
        <w:tc>
          <w:tcPr>
            <w:tcW w:w="583"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519"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rPr>
            </w:pPr>
          </w:p>
        </w:tc>
        <w:tc>
          <w:tcPr>
            <w:tcW w:w="575"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b/>
                <w:i w:val="0"/>
                <w:color w:val="000000"/>
                <w:sz w:val="20"/>
                <w:szCs w:val="20"/>
                <w:u w:val="none"/>
              </w:rPr>
            </w:pPr>
          </w:p>
        </w:tc>
        <w:tc>
          <w:tcPr>
            <w:tcW w:w="777"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828"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139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结转下年</w:t>
            </w:r>
          </w:p>
        </w:tc>
        <w:tc>
          <w:tcPr>
            <w:tcW w:w="532"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rPr>
            </w:pPr>
          </w:p>
        </w:tc>
        <w:tc>
          <w:tcPr>
            <w:tcW w:w="654"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696"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rPr>
            </w:pPr>
          </w:p>
        </w:tc>
        <w:tc>
          <w:tcPr>
            <w:tcW w:w="763"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i w:val="0"/>
                <w:color w:val="000000"/>
                <w:sz w:val="20"/>
                <w:szCs w:val="20"/>
                <w:u w:val="none"/>
              </w:rPr>
            </w:pPr>
          </w:p>
        </w:tc>
        <w:tc>
          <w:tcPr>
            <w:tcW w:w="628"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jc w:val="center"/>
        </w:trPr>
        <w:tc>
          <w:tcPr>
            <w:tcW w:w="1161"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收入总计</w:t>
            </w:r>
          </w:p>
        </w:tc>
        <w:tc>
          <w:tcPr>
            <w:tcW w:w="538"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b/>
                <w:bCs/>
                <w:i w:val="0"/>
                <w:color w:val="000000"/>
                <w:sz w:val="20"/>
                <w:szCs w:val="20"/>
                <w:u w:val="none"/>
                <w:lang w:val="en-US"/>
              </w:rPr>
            </w:pPr>
            <w:r>
              <w:rPr>
                <w:rFonts w:hint="default" w:ascii="Times New Roman" w:hAnsi="Times New Roman" w:eastAsia="等线" w:cs="Times New Roman"/>
                <w:b/>
                <w:bCs/>
                <w:i w:val="0"/>
                <w:color w:val="000000"/>
                <w:kern w:val="0"/>
                <w:sz w:val="22"/>
                <w:szCs w:val="22"/>
                <w:u w:val="none"/>
                <w:lang w:val="en-US" w:eastAsia="zh-CN" w:bidi="ar"/>
              </w:rPr>
              <w:t>902</w:t>
            </w:r>
          </w:p>
        </w:tc>
        <w:tc>
          <w:tcPr>
            <w:tcW w:w="583"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等线" w:cs="Times New Roman"/>
                <w:b/>
                <w:bCs/>
                <w:i w:val="0"/>
                <w:color w:val="000000"/>
                <w:kern w:val="0"/>
                <w:sz w:val="22"/>
                <w:szCs w:val="22"/>
                <w:u w:val="none"/>
                <w:lang w:val="en-US" w:eastAsia="zh-CN" w:bidi="ar"/>
              </w:rPr>
              <w:t>902</w:t>
            </w:r>
          </w:p>
        </w:tc>
        <w:tc>
          <w:tcPr>
            <w:tcW w:w="519"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p>
        </w:tc>
        <w:tc>
          <w:tcPr>
            <w:tcW w:w="575"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b/>
                <w:bCs/>
                <w:i w:val="0"/>
                <w:color w:val="000000"/>
                <w:sz w:val="20"/>
                <w:szCs w:val="20"/>
                <w:u w:val="none"/>
                <w:lang w:val="en-US"/>
              </w:rPr>
            </w:pPr>
            <w:r>
              <w:rPr>
                <w:rFonts w:hint="default" w:ascii="Times New Roman" w:hAnsi="Times New Roman" w:eastAsia="等线" w:cs="Times New Roman"/>
                <w:b/>
                <w:bCs/>
                <w:i w:val="0"/>
                <w:color w:val="000000"/>
                <w:kern w:val="0"/>
                <w:sz w:val="22"/>
                <w:szCs w:val="22"/>
                <w:u w:val="none"/>
                <w:lang w:val="en-US" w:eastAsia="zh-CN" w:bidi="ar"/>
              </w:rPr>
              <w:t>1018</w:t>
            </w:r>
          </w:p>
        </w:tc>
        <w:tc>
          <w:tcPr>
            <w:tcW w:w="777"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b/>
                <w:bCs/>
                <w:i w:val="0"/>
                <w:color w:val="000000"/>
                <w:sz w:val="20"/>
                <w:szCs w:val="20"/>
                <w:u w:val="none"/>
                <w:lang w:val="en-US"/>
              </w:rPr>
            </w:pPr>
            <w:r>
              <w:rPr>
                <w:rFonts w:hint="default" w:ascii="Times New Roman" w:hAnsi="Times New Roman" w:eastAsia="等线" w:cs="Times New Roman"/>
                <w:b/>
                <w:bCs/>
                <w:i w:val="0"/>
                <w:color w:val="000000"/>
                <w:kern w:val="0"/>
                <w:sz w:val="22"/>
                <w:szCs w:val="22"/>
                <w:u w:val="none"/>
                <w:lang w:val="en-US" w:eastAsia="zh-CN" w:bidi="ar"/>
              </w:rPr>
              <w:t>1018</w:t>
            </w:r>
          </w:p>
        </w:tc>
        <w:tc>
          <w:tcPr>
            <w:tcW w:w="828"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b/>
                <w:bCs/>
                <w:i w:val="0"/>
                <w:color w:val="000000"/>
                <w:sz w:val="20"/>
                <w:szCs w:val="20"/>
                <w:u w:val="none"/>
              </w:rPr>
            </w:pPr>
          </w:p>
        </w:tc>
        <w:tc>
          <w:tcPr>
            <w:tcW w:w="139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支出总计</w:t>
            </w:r>
          </w:p>
        </w:tc>
        <w:tc>
          <w:tcPr>
            <w:tcW w:w="532"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b/>
                <w:bCs/>
                <w:i w:val="0"/>
                <w:color w:val="000000"/>
                <w:sz w:val="20"/>
                <w:szCs w:val="20"/>
                <w:u w:val="none"/>
                <w:lang w:val="en-US"/>
              </w:rPr>
            </w:pPr>
            <w:r>
              <w:rPr>
                <w:rFonts w:hint="default" w:ascii="Times New Roman" w:hAnsi="Times New Roman" w:eastAsia="等线" w:cs="Times New Roman"/>
                <w:b/>
                <w:bCs/>
                <w:i w:val="0"/>
                <w:color w:val="000000"/>
                <w:kern w:val="0"/>
                <w:sz w:val="22"/>
                <w:szCs w:val="22"/>
                <w:u w:val="none"/>
                <w:lang w:val="en-US" w:eastAsia="zh-CN" w:bidi="ar"/>
              </w:rPr>
              <w:t>902</w:t>
            </w:r>
          </w:p>
        </w:tc>
        <w:tc>
          <w:tcPr>
            <w:tcW w:w="654"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等线" w:cs="Times New Roman"/>
                <w:b/>
                <w:bCs/>
                <w:i w:val="0"/>
                <w:color w:val="000000"/>
                <w:kern w:val="0"/>
                <w:sz w:val="22"/>
                <w:szCs w:val="22"/>
                <w:u w:val="none"/>
                <w:lang w:val="en-US" w:eastAsia="zh-CN" w:bidi="ar"/>
              </w:rPr>
              <w:t>902</w:t>
            </w:r>
          </w:p>
        </w:tc>
        <w:tc>
          <w:tcPr>
            <w:tcW w:w="491"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p>
        </w:tc>
        <w:tc>
          <w:tcPr>
            <w:tcW w:w="696"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b/>
                <w:bCs/>
                <w:i w:val="0"/>
                <w:color w:val="000000"/>
                <w:sz w:val="20"/>
                <w:szCs w:val="20"/>
                <w:u w:val="none"/>
                <w:lang w:val="en-US"/>
              </w:rPr>
            </w:pPr>
            <w:r>
              <w:rPr>
                <w:rFonts w:hint="default" w:ascii="Times New Roman" w:hAnsi="Times New Roman" w:eastAsia="等线" w:cs="Times New Roman"/>
                <w:b/>
                <w:bCs/>
                <w:i w:val="0"/>
                <w:color w:val="000000"/>
                <w:kern w:val="0"/>
                <w:sz w:val="22"/>
                <w:szCs w:val="22"/>
                <w:u w:val="none"/>
                <w:lang w:val="en-US" w:eastAsia="zh-CN" w:bidi="ar"/>
              </w:rPr>
              <w:t>1018</w:t>
            </w:r>
          </w:p>
        </w:tc>
        <w:tc>
          <w:tcPr>
            <w:tcW w:w="763"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b/>
                <w:bCs/>
                <w:i w:val="0"/>
                <w:color w:val="000000"/>
                <w:sz w:val="20"/>
                <w:szCs w:val="20"/>
                <w:u w:val="none"/>
                <w:lang w:val="en-US"/>
              </w:rPr>
            </w:pPr>
            <w:r>
              <w:rPr>
                <w:rFonts w:hint="default" w:ascii="Times New Roman" w:hAnsi="Times New Roman" w:eastAsia="等线" w:cs="Times New Roman"/>
                <w:b/>
                <w:bCs/>
                <w:i w:val="0"/>
                <w:color w:val="000000"/>
                <w:kern w:val="0"/>
                <w:sz w:val="22"/>
                <w:szCs w:val="22"/>
                <w:u w:val="none"/>
                <w:lang w:val="en-US" w:eastAsia="zh-CN" w:bidi="ar"/>
              </w:rPr>
              <w:t>1018</w:t>
            </w:r>
          </w:p>
        </w:tc>
        <w:tc>
          <w:tcPr>
            <w:tcW w:w="628" w:type="dxa"/>
            <w:tcBorders>
              <w:top w:val="single" w:color="000000" w:sz="4" w:space="0"/>
              <w:left w:val="single" w:color="000000" w:sz="4" w:space="0"/>
              <w:bottom w:val="single" w:color="000000" w:sz="4" w:space="0"/>
              <w:right w:val="single" w:color="000000" w:sz="4" w:space="0"/>
            </w:tcBorders>
            <w:noWrap w:val="0"/>
            <w:vAlign w:val="top"/>
          </w:tcPr>
          <w:p>
            <w:pPr>
              <w:jc w:val="right"/>
              <w:rPr>
                <w:rFonts w:hint="default" w:ascii="Times New Roman" w:hAnsi="Times New Roman" w:eastAsia="宋体" w:cs="Times New Roman"/>
                <w:b/>
                <w:i w:val="0"/>
                <w:color w:val="000000"/>
                <w:sz w:val="20"/>
                <w:szCs w:val="20"/>
                <w:u w:val="none"/>
              </w:rPr>
            </w:pPr>
          </w:p>
        </w:tc>
      </w:tr>
    </w:tbl>
    <w:tbl>
      <w:tblPr>
        <w:tblStyle w:val="8"/>
        <w:tblpPr w:leftFromText="180" w:rightFromText="180" w:vertAnchor="text" w:horzAnchor="page" w:tblpXSpec="center" w:tblpY="1"/>
        <w:tblOverlap w:val="never"/>
        <w:tblW w:w="1039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923"/>
        <w:gridCol w:w="2529"/>
        <w:gridCol w:w="1301"/>
        <w:gridCol w:w="898"/>
        <w:gridCol w:w="996"/>
        <w:gridCol w:w="1112"/>
        <w:gridCol w:w="889"/>
        <w:gridCol w:w="1063"/>
        <w:gridCol w:w="6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73" w:hRule="atLeast"/>
          <w:jc w:val="center"/>
        </w:trPr>
        <w:tc>
          <w:tcPr>
            <w:tcW w:w="923" w:type="dxa"/>
            <w:tcBorders>
              <w:top w:val="nil"/>
              <w:left w:val="nil"/>
              <w:bottom w:val="nil"/>
              <w:right w:val="nil"/>
            </w:tcBorders>
            <w:noWrap w:val="0"/>
            <w:vAlign w:val="bottom"/>
          </w:tcPr>
          <w:p>
            <w:pPr>
              <w:keepNext w:val="0"/>
              <w:keepLines w:val="0"/>
              <w:widowControl/>
              <w:suppressLineNumbers w:val="0"/>
              <w:jc w:val="left"/>
              <w:textAlignment w:val="bottom"/>
              <w:rPr>
                <w:rFonts w:hint="default" w:ascii="Times New Roman" w:hAnsi="Times New Roman" w:eastAsia="宋体" w:cs="Times New Roman"/>
                <w:i w:val="0"/>
                <w:color w:val="000000"/>
                <w:sz w:val="20"/>
                <w:szCs w:val="20"/>
                <w:u w:val="none"/>
                <w:lang w:val="en-US"/>
              </w:rPr>
            </w:pPr>
            <w:r>
              <w:rPr>
                <w:rFonts w:hint="default" w:ascii="Times New Roman" w:hAnsi="Times New Roman" w:eastAsia="宋体" w:cs="Times New Roman"/>
                <w:i w:val="0"/>
                <w:color w:val="000000"/>
                <w:kern w:val="0"/>
                <w:sz w:val="20"/>
                <w:szCs w:val="20"/>
                <w:u w:val="none"/>
                <w:lang w:val="en-US" w:eastAsia="zh-CN" w:bidi="ar"/>
              </w:rPr>
              <w:t>表1</w:t>
            </w:r>
            <w:r>
              <w:rPr>
                <w:rFonts w:hint="default" w:ascii="Times New Roman" w:hAnsi="Times New Roman" w:cs="Times New Roman"/>
                <w:i w:val="0"/>
                <w:color w:val="000000"/>
                <w:kern w:val="0"/>
                <w:sz w:val="20"/>
                <w:szCs w:val="20"/>
                <w:u w:val="none"/>
                <w:lang w:val="en-US" w:eastAsia="zh-CN" w:bidi="ar"/>
              </w:rPr>
              <w:t>8</w:t>
            </w:r>
          </w:p>
        </w:tc>
        <w:tc>
          <w:tcPr>
            <w:tcW w:w="2529" w:type="dxa"/>
            <w:tcBorders>
              <w:top w:val="nil"/>
              <w:left w:val="nil"/>
              <w:bottom w:val="nil"/>
              <w:right w:val="nil"/>
            </w:tcBorders>
            <w:noWrap w:val="0"/>
            <w:vAlign w:val="center"/>
          </w:tcPr>
          <w:p>
            <w:pPr>
              <w:rPr>
                <w:rFonts w:hint="default" w:ascii="Times New Roman" w:hAnsi="Times New Roman" w:eastAsia="宋体" w:cs="Times New Roman"/>
                <w:i w:val="0"/>
                <w:color w:val="000000"/>
                <w:sz w:val="24"/>
                <w:szCs w:val="24"/>
                <w:u w:val="none"/>
              </w:rPr>
            </w:pPr>
          </w:p>
        </w:tc>
        <w:tc>
          <w:tcPr>
            <w:tcW w:w="1301" w:type="dxa"/>
            <w:tcBorders>
              <w:top w:val="nil"/>
              <w:left w:val="nil"/>
              <w:bottom w:val="nil"/>
              <w:right w:val="nil"/>
            </w:tcBorders>
            <w:noWrap w:val="0"/>
            <w:vAlign w:val="center"/>
          </w:tcPr>
          <w:p>
            <w:pPr>
              <w:rPr>
                <w:rFonts w:hint="default" w:ascii="Times New Roman" w:hAnsi="Times New Roman" w:eastAsia="宋体" w:cs="Times New Roman"/>
                <w:i w:val="0"/>
                <w:color w:val="000000"/>
                <w:sz w:val="24"/>
                <w:szCs w:val="24"/>
                <w:u w:val="none"/>
              </w:rPr>
            </w:pPr>
          </w:p>
        </w:tc>
        <w:tc>
          <w:tcPr>
            <w:tcW w:w="898" w:type="dxa"/>
            <w:tcBorders>
              <w:top w:val="nil"/>
              <w:left w:val="nil"/>
              <w:bottom w:val="nil"/>
              <w:right w:val="nil"/>
            </w:tcBorders>
            <w:noWrap w:val="0"/>
            <w:vAlign w:val="center"/>
          </w:tcPr>
          <w:p>
            <w:pPr>
              <w:rPr>
                <w:rFonts w:hint="default" w:ascii="Times New Roman" w:hAnsi="Times New Roman" w:eastAsia="宋体" w:cs="Times New Roman"/>
                <w:i w:val="0"/>
                <w:color w:val="000000"/>
                <w:sz w:val="24"/>
                <w:szCs w:val="24"/>
                <w:u w:val="none"/>
              </w:rPr>
            </w:pPr>
          </w:p>
        </w:tc>
        <w:tc>
          <w:tcPr>
            <w:tcW w:w="996" w:type="dxa"/>
            <w:tcBorders>
              <w:top w:val="nil"/>
              <w:left w:val="nil"/>
              <w:bottom w:val="nil"/>
              <w:right w:val="nil"/>
            </w:tcBorders>
            <w:noWrap w:val="0"/>
            <w:vAlign w:val="center"/>
          </w:tcPr>
          <w:p>
            <w:pPr>
              <w:rPr>
                <w:rFonts w:hint="default" w:ascii="Times New Roman" w:hAnsi="Times New Roman" w:eastAsia="宋体" w:cs="Times New Roman"/>
                <w:i w:val="0"/>
                <w:color w:val="000000"/>
                <w:sz w:val="24"/>
                <w:szCs w:val="24"/>
                <w:u w:val="none"/>
              </w:rPr>
            </w:pPr>
          </w:p>
        </w:tc>
        <w:tc>
          <w:tcPr>
            <w:tcW w:w="1112" w:type="dxa"/>
            <w:tcBorders>
              <w:top w:val="nil"/>
              <w:left w:val="nil"/>
              <w:bottom w:val="nil"/>
              <w:right w:val="nil"/>
            </w:tcBorders>
            <w:noWrap w:val="0"/>
            <w:vAlign w:val="center"/>
          </w:tcPr>
          <w:p>
            <w:pPr>
              <w:rPr>
                <w:rFonts w:hint="default" w:ascii="Times New Roman" w:hAnsi="Times New Roman" w:eastAsia="宋体" w:cs="Times New Roman"/>
                <w:i w:val="0"/>
                <w:color w:val="000000"/>
                <w:sz w:val="24"/>
                <w:szCs w:val="24"/>
                <w:u w:val="none"/>
              </w:rPr>
            </w:pPr>
          </w:p>
        </w:tc>
        <w:tc>
          <w:tcPr>
            <w:tcW w:w="889" w:type="dxa"/>
            <w:tcBorders>
              <w:top w:val="nil"/>
              <w:left w:val="nil"/>
              <w:bottom w:val="nil"/>
              <w:right w:val="nil"/>
            </w:tcBorders>
            <w:noWrap w:val="0"/>
            <w:vAlign w:val="center"/>
          </w:tcPr>
          <w:p>
            <w:pPr>
              <w:rPr>
                <w:rFonts w:hint="default" w:ascii="Times New Roman" w:hAnsi="Times New Roman" w:eastAsia="宋体" w:cs="Times New Roman"/>
                <w:i w:val="0"/>
                <w:color w:val="000000"/>
                <w:sz w:val="24"/>
                <w:szCs w:val="24"/>
                <w:u w:val="none"/>
              </w:rPr>
            </w:pPr>
          </w:p>
        </w:tc>
        <w:tc>
          <w:tcPr>
            <w:tcW w:w="1063" w:type="dxa"/>
            <w:tcBorders>
              <w:top w:val="nil"/>
              <w:left w:val="nil"/>
              <w:bottom w:val="nil"/>
              <w:right w:val="nil"/>
            </w:tcBorders>
            <w:noWrap w:val="0"/>
            <w:vAlign w:val="center"/>
          </w:tcPr>
          <w:p>
            <w:pPr>
              <w:rPr>
                <w:rFonts w:hint="default" w:ascii="Times New Roman" w:hAnsi="Times New Roman" w:eastAsia="宋体" w:cs="Times New Roman"/>
                <w:i w:val="0"/>
                <w:color w:val="000000"/>
                <w:sz w:val="24"/>
                <w:szCs w:val="24"/>
                <w:u w:val="none"/>
              </w:rPr>
            </w:pPr>
          </w:p>
        </w:tc>
        <w:tc>
          <w:tcPr>
            <w:tcW w:w="684" w:type="dxa"/>
            <w:tcBorders>
              <w:top w:val="nil"/>
              <w:left w:val="nil"/>
              <w:bottom w:val="nil"/>
              <w:right w:val="nil"/>
            </w:tcBorders>
            <w:noWrap w:val="0"/>
            <w:vAlign w:val="center"/>
          </w:tcPr>
          <w:p>
            <w:pPr>
              <w:rPr>
                <w:rFonts w:hint="default" w:ascii="Times New Roman" w:hAnsi="Times New Roman" w:eastAsia="宋体" w:cs="Times New Roman"/>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5" w:hRule="atLeast"/>
          <w:jc w:val="center"/>
        </w:trPr>
        <w:tc>
          <w:tcPr>
            <w:tcW w:w="10395" w:type="dxa"/>
            <w:gridSpan w:val="9"/>
            <w:tcBorders>
              <w:top w:val="nil"/>
              <w:left w:val="nil"/>
              <w:bottom w:val="single" w:color="auto" w:sz="4" w:space="0"/>
              <w:right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202</w:t>
            </w:r>
            <w:r>
              <w:rPr>
                <w:rFonts w:hint="default" w:ascii="Times New Roman" w:hAnsi="Times New Roman" w:cs="Times New Roman"/>
                <w:b/>
                <w:i w:val="0"/>
                <w:color w:val="000000"/>
                <w:kern w:val="0"/>
                <w:sz w:val="20"/>
                <w:szCs w:val="20"/>
                <w:u w:val="none"/>
                <w:lang w:val="en-US" w:eastAsia="zh-CN" w:bidi="ar"/>
              </w:rPr>
              <w:t>5</w:t>
            </w:r>
            <w:r>
              <w:rPr>
                <w:rFonts w:hint="default" w:ascii="Times New Roman" w:hAnsi="Times New Roman" w:eastAsia="宋体" w:cs="Times New Roman"/>
                <w:b/>
                <w:i w:val="0"/>
                <w:color w:val="000000"/>
                <w:kern w:val="0"/>
                <w:sz w:val="20"/>
                <w:szCs w:val="20"/>
                <w:u w:val="none"/>
                <w:lang w:val="en-US" w:eastAsia="zh-CN" w:bidi="ar"/>
              </w:rPr>
              <w:t>年</w:t>
            </w:r>
            <w:r>
              <w:rPr>
                <w:rFonts w:hint="default" w:ascii="Times New Roman" w:hAnsi="Times New Roman" w:cs="Times New Roman"/>
                <w:b/>
                <w:i w:val="0"/>
                <w:color w:val="000000"/>
                <w:kern w:val="0"/>
                <w:sz w:val="20"/>
                <w:szCs w:val="20"/>
                <w:u w:val="none"/>
                <w:lang w:val="en-US" w:eastAsia="zh-CN" w:bidi="ar"/>
              </w:rPr>
              <w:t>泽普县本级</w:t>
            </w:r>
            <w:r>
              <w:rPr>
                <w:rFonts w:hint="default" w:ascii="Times New Roman" w:hAnsi="Times New Roman" w:eastAsia="宋体" w:cs="Times New Roman"/>
                <w:b/>
                <w:i w:val="0"/>
                <w:color w:val="000000"/>
                <w:kern w:val="0"/>
                <w:sz w:val="20"/>
                <w:szCs w:val="20"/>
                <w:u w:val="none"/>
                <w:lang w:val="en-US" w:eastAsia="zh-CN" w:bidi="ar"/>
              </w:rPr>
              <w:t>国有资本经营预算收入表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6" w:hRule="atLeast"/>
          <w:jc w:val="center"/>
        </w:trPr>
        <w:tc>
          <w:tcPr>
            <w:tcW w:w="923"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2529"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30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898"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996"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112" w:type="dxa"/>
            <w:tcBorders>
              <w:top w:val="single" w:color="auto" w:sz="4" w:space="0"/>
              <w:left w:val="single" w:color="auto" w:sz="4" w:space="0"/>
              <w:bottom w:val="single" w:color="auto" w:sz="4" w:space="0"/>
              <w:right w:val="single" w:color="auto" w:sz="4" w:space="0"/>
            </w:tcBorders>
            <w:noWrap w:val="0"/>
            <w:vAlign w:val="center"/>
          </w:tcPr>
          <w:p>
            <w:pPr>
              <w:rPr>
                <w:rFonts w:hint="default" w:ascii="Times New Roman" w:hAnsi="Times New Roman" w:eastAsia="宋体" w:cs="Times New Roman"/>
                <w:i w:val="0"/>
                <w:color w:val="000000"/>
                <w:sz w:val="24"/>
                <w:szCs w:val="24"/>
                <w:u w:val="none"/>
              </w:rPr>
            </w:pPr>
          </w:p>
        </w:tc>
        <w:tc>
          <w:tcPr>
            <w:tcW w:w="889" w:type="dxa"/>
            <w:tcBorders>
              <w:top w:val="single" w:color="auto" w:sz="4" w:space="0"/>
              <w:left w:val="single" w:color="auto" w:sz="4" w:space="0"/>
              <w:bottom w:val="single" w:color="auto" w:sz="4" w:space="0"/>
              <w:right w:val="single" w:color="auto" w:sz="4" w:space="0"/>
            </w:tcBorders>
            <w:noWrap w:val="0"/>
            <w:vAlign w:val="center"/>
          </w:tcPr>
          <w:p>
            <w:pPr>
              <w:rPr>
                <w:rFonts w:hint="default" w:ascii="Times New Roman" w:hAnsi="Times New Roman" w:eastAsia="宋体" w:cs="Times New Roman"/>
                <w:i w:val="0"/>
                <w:color w:val="000000"/>
                <w:sz w:val="24"/>
                <w:szCs w:val="24"/>
                <w:u w:val="none"/>
              </w:rPr>
            </w:pPr>
          </w:p>
        </w:tc>
        <w:tc>
          <w:tcPr>
            <w:tcW w:w="1747"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62" w:hRule="atLeast"/>
          <w:jc w:val="center"/>
        </w:trPr>
        <w:tc>
          <w:tcPr>
            <w:tcW w:w="923"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科目编码</w:t>
            </w:r>
          </w:p>
        </w:tc>
        <w:tc>
          <w:tcPr>
            <w:tcW w:w="2529"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科目名称／企业</w:t>
            </w:r>
          </w:p>
        </w:tc>
        <w:tc>
          <w:tcPr>
            <w:tcW w:w="3195"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202</w:t>
            </w:r>
            <w:r>
              <w:rPr>
                <w:rFonts w:hint="default" w:ascii="Times New Roman" w:hAnsi="Times New Roman" w:cs="Times New Roman"/>
                <w:b/>
                <w:bCs/>
                <w:i w:val="0"/>
                <w:color w:val="000000"/>
                <w:kern w:val="0"/>
                <w:sz w:val="20"/>
                <w:szCs w:val="20"/>
                <w:u w:val="none"/>
                <w:lang w:val="en-US" w:eastAsia="zh-CN" w:bidi="ar"/>
              </w:rPr>
              <w:t>4</w:t>
            </w:r>
            <w:r>
              <w:rPr>
                <w:rFonts w:hint="default" w:ascii="Times New Roman" w:hAnsi="Times New Roman" w:eastAsia="宋体" w:cs="Times New Roman"/>
                <w:b/>
                <w:bCs/>
                <w:i w:val="0"/>
                <w:color w:val="000000"/>
                <w:kern w:val="0"/>
                <w:sz w:val="20"/>
                <w:szCs w:val="20"/>
                <w:u w:val="none"/>
                <w:lang w:val="en-US" w:eastAsia="zh-CN" w:bidi="ar"/>
              </w:rPr>
              <w:t>年</w:t>
            </w:r>
            <w:r>
              <w:rPr>
                <w:rFonts w:hint="default" w:ascii="Times New Roman" w:hAnsi="Times New Roman" w:eastAsia="宋体" w:cs="Times New Roman"/>
                <w:b/>
                <w:bCs/>
                <w:i w:val="0"/>
                <w:color w:val="000000"/>
                <w:kern w:val="0"/>
                <w:sz w:val="20"/>
                <w:szCs w:val="20"/>
                <w:u w:val="none"/>
                <w:lang w:val="en-US" w:eastAsia="zh-Hans" w:bidi="ar"/>
              </w:rPr>
              <w:t>完成</w:t>
            </w:r>
            <w:r>
              <w:rPr>
                <w:rFonts w:hint="default" w:ascii="Times New Roman" w:hAnsi="Times New Roman" w:eastAsia="宋体" w:cs="Times New Roman"/>
                <w:b/>
                <w:bCs/>
                <w:i w:val="0"/>
                <w:color w:val="000000"/>
                <w:kern w:val="0"/>
                <w:sz w:val="20"/>
                <w:szCs w:val="20"/>
                <w:u w:val="none"/>
                <w:lang w:val="en-US" w:eastAsia="zh-CN" w:bidi="ar"/>
              </w:rPr>
              <w:t>数</w:t>
            </w:r>
          </w:p>
        </w:tc>
        <w:tc>
          <w:tcPr>
            <w:tcW w:w="3064"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202</w:t>
            </w:r>
            <w:r>
              <w:rPr>
                <w:rFonts w:hint="default" w:ascii="Times New Roman" w:hAnsi="Times New Roman" w:cs="Times New Roman"/>
                <w:b/>
                <w:bCs/>
                <w:i w:val="0"/>
                <w:color w:val="000000"/>
                <w:kern w:val="0"/>
                <w:sz w:val="20"/>
                <w:szCs w:val="20"/>
                <w:u w:val="none"/>
                <w:lang w:val="en-US" w:eastAsia="zh-CN" w:bidi="ar"/>
              </w:rPr>
              <w:t>5</w:t>
            </w:r>
            <w:r>
              <w:rPr>
                <w:rFonts w:hint="default" w:ascii="Times New Roman" w:hAnsi="Times New Roman" w:eastAsia="宋体" w:cs="Times New Roman"/>
                <w:b/>
                <w:bCs/>
                <w:i w:val="0"/>
                <w:color w:val="000000"/>
                <w:kern w:val="0"/>
                <w:sz w:val="20"/>
                <w:szCs w:val="20"/>
                <w:u w:val="none"/>
                <w:lang w:val="en-US" w:eastAsia="zh-CN" w:bidi="ar"/>
              </w:rPr>
              <w:t>年预算数</w:t>
            </w:r>
          </w:p>
        </w:tc>
        <w:tc>
          <w:tcPr>
            <w:tcW w:w="684"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0"/>
                <w:sz w:val="20"/>
                <w:szCs w:val="20"/>
                <w:u w:val="none"/>
                <w:lang w:val="en-US" w:eastAsia="zh-CN" w:bidi="ar"/>
              </w:rPr>
            </w:pPr>
            <w:r>
              <w:rPr>
                <w:rFonts w:hint="default" w:ascii="Times New Roman" w:hAnsi="Times New Roman" w:eastAsia="宋体" w:cs="Times New Roman"/>
                <w:b/>
                <w:bCs/>
                <w:i w:val="0"/>
                <w:color w:val="000000"/>
                <w:kern w:val="0"/>
                <w:sz w:val="20"/>
                <w:szCs w:val="20"/>
                <w:u w:val="none"/>
                <w:lang w:val="en-US" w:eastAsia="zh-CN" w:bidi="ar"/>
              </w:rPr>
              <w:t>预算数为上年</w:t>
            </w:r>
          </w:p>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Hans" w:bidi="ar"/>
              </w:rPr>
              <w:t>完成</w:t>
            </w:r>
            <w:r>
              <w:rPr>
                <w:rFonts w:hint="default" w:ascii="Times New Roman" w:hAnsi="Times New Roman" w:eastAsia="宋体" w:cs="Times New Roman"/>
                <w:b/>
                <w:bCs/>
                <w:i w:val="0"/>
                <w:color w:val="000000"/>
                <w:kern w:val="0"/>
                <w:sz w:val="20"/>
                <w:szCs w:val="20"/>
                <w:u w:val="none"/>
                <w:lang w:val="en-US" w:eastAsia="zh-CN" w:bidi="ar"/>
              </w:rPr>
              <w:t>数的%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25" w:hRule="atLeast"/>
          <w:jc w:val="center"/>
        </w:trPr>
        <w:tc>
          <w:tcPr>
            <w:tcW w:w="923"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2529"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30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小计</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cs="Times New Roman"/>
                <w:b/>
                <w:bCs/>
                <w:i w:val="0"/>
                <w:color w:val="000000"/>
                <w:kern w:val="0"/>
                <w:sz w:val="20"/>
                <w:szCs w:val="20"/>
                <w:u w:val="none"/>
                <w:lang w:eastAsia="zh-CN" w:bidi="ar"/>
              </w:rPr>
              <w:t>泽普县</w:t>
            </w:r>
            <w:r>
              <w:rPr>
                <w:rFonts w:hint="default" w:ascii="Times New Roman" w:hAnsi="Times New Roman" w:eastAsia="宋体" w:cs="Times New Roman"/>
                <w:b/>
                <w:bCs/>
                <w:i w:val="0"/>
                <w:color w:val="000000"/>
                <w:kern w:val="0"/>
                <w:sz w:val="20"/>
                <w:szCs w:val="20"/>
                <w:u w:val="none"/>
                <w:lang w:val="en-US" w:eastAsia="zh-CN" w:bidi="ar"/>
              </w:rPr>
              <w:t>本级</w:t>
            </w:r>
          </w:p>
        </w:tc>
        <w:tc>
          <w:tcPr>
            <w:tcW w:w="9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eastAsia="zh-CN" w:bidi="ar"/>
              </w:rPr>
            </w:pPr>
            <w:r>
              <w:rPr>
                <w:rFonts w:hint="default" w:ascii="Times New Roman" w:hAnsi="Times New Roman" w:eastAsia="宋体" w:cs="Times New Roman"/>
                <w:b/>
                <w:i w:val="0"/>
                <w:color w:val="000000"/>
                <w:kern w:val="0"/>
                <w:sz w:val="20"/>
                <w:szCs w:val="20"/>
                <w:u w:val="none"/>
                <w:lang w:val="en-US" w:eastAsia="zh-CN" w:bidi="ar"/>
              </w:rPr>
              <w:t>地市级</w:t>
            </w:r>
          </w:p>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以下</w:t>
            </w:r>
          </w:p>
        </w:tc>
        <w:tc>
          <w:tcPr>
            <w:tcW w:w="11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小计</w:t>
            </w:r>
          </w:p>
        </w:tc>
        <w:tc>
          <w:tcPr>
            <w:tcW w:w="8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cs="Times New Roman"/>
                <w:b/>
                <w:bCs/>
                <w:i w:val="0"/>
                <w:color w:val="000000"/>
                <w:kern w:val="0"/>
                <w:sz w:val="20"/>
                <w:szCs w:val="20"/>
                <w:u w:val="none"/>
                <w:lang w:eastAsia="zh-CN" w:bidi="ar"/>
              </w:rPr>
              <w:t>泽普县</w:t>
            </w:r>
            <w:r>
              <w:rPr>
                <w:rFonts w:hint="default" w:ascii="Times New Roman" w:hAnsi="Times New Roman" w:eastAsia="宋体" w:cs="Times New Roman"/>
                <w:b/>
                <w:bCs/>
                <w:i w:val="0"/>
                <w:color w:val="000000"/>
                <w:kern w:val="0"/>
                <w:sz w:val="20"/>
                <w:szCs w:val="20"/>
                <w:u w:val="none"/>
                <w:lang w:val="en-US" w:eastAsia="zh-CN" w:bidi="ar"/>
              </w:rPr>
              <w:t>本级</w:t>
            </w:r>
          </w:p>
        </w:tc>
        <w:tc>
          <w:tcPr>
            <w:tcW w:w="10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eastAsia="zh-CN" w:bidi="ar"/>
              </w:rPr>
            </w:pPr>
            <w:r>
              <w:rPr>
                <w:rFonts w:hint="default" w:ascii="Times New Roman" w:hAnsi="Times New Roman" w:eastAsia="宋体" w:cs="Times New Roman"/>
                <w:b/>
                <w:i w:val="0"/>
                <w:color w:val="000000"/>
                <w:kern w:val="0"/>
                <w:sz w:val="20"/>
                <w:szCs w:val="20"/>
                <w:u w:val="none"/>
                <w:lang w:val="en-US" w:eastAsia="zh-CN" w:bidi="ar"/>
              </w:rPr>
              <w:t>地市级</w:t>
            </w:r>
          </w:p>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以下</w:t>
            </w:r>
          </w:p>
        </w:tc>
        <w:tc>
          <w:tcPr>
            <w:tcW w:w="684"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62" w:hRule="atLeast"/>
          <w:jc w:val="center"/>
        </w:trPr>
        <w:tc>
          <w:tcPr>
            <w:tcW w:w="9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1030601</w:t>
            </w:r>
          </w:p>
        </w:tc>
        <w:tc>
          <w:tcPr>
            <w:tcW w:w="25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一、利润收入</w:t>
            </w:r>
          </w:p>
        </w:tc>
        <w:tc>
          <w:tcPr>
            <w:tcW w:w="130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902</w:t>
            </w:r>
          </w:p>
        </w:tc>
        <w:tc>
          <w:tcPr>
            <w:tcW w:w="898"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902</w:t>
            </w:r>
          </w:p>
        </w:tc>
        <w:tc>
          <w:tcPr>
            <w:tcW w:w="996"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112"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1018</w:t>
            </w:r>
          </w:p>
        </w:tc>
        <w:tc>
          <w:tcPr>
            <w:tcW w:w="889"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1018</w:t>
            </w:r>
          </w:p>
        </w:tc>
        <w:tc>
          <w:tcPr>
            <w:tcW w:w="1063"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684"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12.86%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67" w:hRule="atLeast"/>
          <w:jc w:val="center"/>
        </w:trPr>
        <w:tc>
          <w:tcPr>
            <w:tcW w:w="9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103060198</w:t>
            </w:r>
          </w:p>
        </w:tc>
        <w:tc>
          <w:tcPr>
            <w:tcW w:w="25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其他国有资本经营预算企业利润收入</w:t>
            </w:r>
          </w:p>
        </w:tc>
        <w:tc>
          <w:tcPr>
            <w:tcW w:w="130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898" w:type="dxa"/>
            <w:tcBorders>
              <w:top w:val="single" w:color="auto" w:sz="4" w:space="0"/>
              <w:left w:val="single" w:color="auto" w:sz="4" w:space="0"/>
              <w:bottom w:val="single" w:color="auto" w:sz="4" w:space="0"/>
              <w:right w:val="single" w:color="auto" w:sz="4" w:space="0"/>
            </w:tcBorders>
            <w:noWrap w:val="0"/>
            <w:vAlign w:val="center"/>
          </w:tcPr>
          <w:p>
            <w:pPr>
              <w:jc w:val="both"/>
              <w:rPr>
                <w:rFonts w:hint="default" w:ascii="Times New Roman" w:hAnsi="Times New Roman" w:eastAsia="宋体" w:cs="Times New Roman"/>
                <w:i w:val="0"/>
                <w:color w:val="000000"/>
                <w:sz w:val="20"/>
                <w:szCs w:val="20"/>
                <w:u w:val="none"/>
                <w:lang w:val="en-US" w:eastAsia="zh-CN"/>
              </w:rPr>
            </w:pPr>
          </w:p>
        </w:tc>
        <w:tc>
          <w:tcPr>
            <w:tcW w:w="996"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112" w:type="dxa"/>
            <w:tcBorders>
              <w:top w:val="single" w:color="auto" w:sz="4" w:space="0"/>
              <w:left w:val="single" w:color="auto" w:sz="4" w:space="0"/>
              <w:bottom w:val="single" w:color="auto" w:sz="4" w:space="0"/>
              <w:right w:val="single" w:color="auto"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89" w:type="dxa"/>
            <w:tcBorders>
              <w:top w:val="single" w:color="auto" w:sz="4" w:space="0"/>
              <w:left w:val="single" w:color="auto" w:sz="4" w:space="0"/>
              <w:bottom w:val="single" w:color="auto" w:sz="4" w:space="0"/>
              <w:right w:val="single" w:color="auto" w:sz="4" w:space="0"/>
            </w:tcBorders>
            <w:noWrap w:val="0"/>
            <w:vAlign w:val="center"/>
          </w:tcPr>
          <w:p>
            <w:pPr>
              <w:jc w:val="both"/>
              <w:rPr>
                <w:rFonts w:hint="default" w:ascii="Times New Roman" w:hAnsi="Times New Roman" w:eastAsia="宋体" w:cs="Times New Roman"/>
                <w:i w:val="0"/>
                <w:color w:val="000000"/>
                <w:sz w:val="20"/>
                <w:szCs w:val="20"/>
                <w:u w:val="none"/>
                <w:lang w:val="en-US" w:eastAsia="zh-CN"/>
              </w:rPr>
            </w:pPr>
          </w:p>
        </w:tc>
        <w:tc>
          <w:tcPr>
            <w:tcW w:w="1063"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684"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2" w:hRule="atLeast"/>
          <w:jc w:val="center"/>
        </w:trPr>
        <w:tc>
          <w:tcPr>
            <w:tcW w:w="9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1030602</w:t>
            </w:r>
          </w:p>
        </w:tc>
        <w:tc>
          <w:tcPr>
            <w:tcW w:w="25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二、股利、股息收入</w:t>
            </w:r>
          </w:p>
        </w:tc>
        <w:tc>
          <w:tcPr>
            <w:tcW w:w="1301"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9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996"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112"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89"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063"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684"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67" w:hRule="atLeast"/>
          <w:jc w:val="center"/>
        </w:trPr>
        <w:tc>
          <w:tcPr>
            <w:tcW w:w="92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103060202</w:t>
            </w:r>
          </w:p>
        </w:tc>
        <w:tc>
          <w:tcPr>
            <w:tcW w:w="252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国有控股公司股利、股息收入</w:t>
            </w:r>
          </w:p>
        </w:tc>
        <w:tc>
          <w:tcPr>
            <w:tcW w:w="130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right"/>
              <w:rPr>
                <w:rFonts w:hint="default" w:ascii="Times New Roman" w:hAnsi="Times New Roman" w:eastAsia="宋体" w:cs="Times New Roman"/>
                <w:i w:val="0"/>
                <w:color w:val="000000"/>
                <w:sz w:val="20"/>
                <w:szCs w:val="20"/>
                <w:u w:val="none"/>
              </w:rPr>
            </w:pPr>
          </w:p>
        </w:tc>
        <w:tc>
          <w:tcPr>
            <w:tcW w:w="898"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right"/>
              <w:rPr>
                <w:rFonts w:hint="default" w:ascii="Times New Roman" w:hAnsi="Times New Roman" w:eastAsia="宋体" w:cs="Times New Roman"/>
                <w:i w:val="0"/>
                <w:color w:val="000000"/>
                <w:sz w:val="20"/>
                <w:szCs w:val="20"/>
                <w:u w:val="none"/>
              </w:rPr>
            </w:pPr>
          </w:p>
        </w:tc>
        <w:tc>
          <w:tcPr>
            <w:tcW w:w="99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jc w:val="right"/>
              <w:rPr>
                <w:rFonts w:hint="default" w:ascii="Times New Roman" w:hAnsi="Times New Roman" w:eastAsia="宋体" w:cs="Times New Roman"/>
                <w:i w:val="0"/>
                <w:color w:val="000000"/>
                <w:sz w:val="20"/>
                <w:szCs w:val="20"/>
                <w:u w:val="none"/>
              </w:rPr>
            </w:pPr>
          </w:p>
        </w:tc>
        <w:tc>
          <w:tcPr>
            <w:tcW w:w="111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right"/>
              <w:rPr>
                <w:rFonts w:hint="default" w:ascii="Times New Roman" w:hAnsi="Times New Roman" w:eastAsia="宋体" w:cs="Times New Roman"/>
                <w:i w:val="0"/>
                <w:color w:val="000000"/>
                <w:sz w:val="20"/>
                <w:szCs w:val="20"/>
                <w:u w:val="none"/>
              </w:rPr>
            </w:pPr>
          </w:p>
        </w:tc>
        <w:tc>
          <w:tcPr>
            <w:tcW w:w="88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right"/>
              <w:rPr>
                <w:rFonts w:hint="default" w:ascii="Times New Roman" w:hAnsi="Times New Roman" w:eastAsia="宋体" w:cs="Times New Roman"/>
                <w:i w:val="0"/>
                <w:color w:val="000000"/>
                <w:sz w:val="20"/>
                <w:szCs w:val="20"/>
                <w:u w:val="none"/>
              </w:rPr>
            </w:pPr>
          </w:p>
        </w:tc>
        <w:tc>
          <w:tcPr>
            <w:tcW w:w="10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jc w:val="right"/>
              <w:rPr>
                <w:rFonts w:hint="default" w:ascii="Times New Roman" w:hAnsi="Times New Roman" w:eastAsia="宋体" w:cs="Times New Roman"/>
                <w:i w:val="0"/>
                <w:color w:val="000000"/>
                <w:sz w:val="20"/>
                <w:szCs w:val="20"/>
                <w:u w:val="none"/>
              </w:rPr>
            </w:pPr>
          </w:p>
        </w:tc>
        <w:tc>
          <w:tcPr>
            <w:tcW w:w="684"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67" w:hRule="atLeast"/>
          <w:jc w:val="center"/>
        </w:trPr>
        <w:tc>
          <w:tcPr>
            <w:tcW w:w="92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103060203</w:t>
            </w:r>
          </w:p>
        </w:tc>
        <w:tc>
          <w:tcPr>
            <w:tcW w:w="252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国有参股公司股利、股息收入</w:t>
            </w:r>
          </w:p>
        </w:tc>
        <w:tc>
          <w:tcPr>
            <w:tcW w:w="130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right"/>
              <w:rPr>
                <w:rFonts w:hint="default" w:ascii="Times New Roman" w:hAnsi="Times New Roman" w:eastAsia="宋体" w:cs="Times New Roman"/>
                <w:i w:val="0"/>
                <w:color w:val="000000"/>
                <w:sz w:val="20"/>
                <w:szCs w:val="20"/>
                <w:u w:val="none"/>
              </w:rPr>
            </w:pPr>
          </w:p>
        </w:tc>
        <w:tc>
          <w:tcPr>
            <w:tcW w:w="898"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right"/>
              <w:rPr>
                <w:rFonts w:hint="default" w:ascii="Times New Roman" w:hAnsi="Times New Roman" w:eastAsia="宋体" w:cs="Times New Roman"/>
                <w:i w:val="0"/>
                <w:color w:val="000000"/>
                <w:sz w:val="20"/>
                <w:szCs w:val="20"/>
                <w:u w:val="none"/>
              </w:rPr>
            </w:pPr>
          </w:p>
        </w:tc>
        <w:tc>
          <w:tcPr>
            <w:tcW w:w="99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jc w:val="right"/>
              <w:rPr>
                <w:rFonts w:hint="default" w:ascii="Times New Roman" w:hAnsi="Times New Roman" w:eastAsia="宋体" w:cs="Times New Roman"/>
                <w:i w:val="0"/>
                <w:color w:val="000000"/>
                <w:sz w:val="20"/>
                <w:szCs w:val="20"/>
                <w:u w:val="none"/>
              </w:rPr>
            </w:pPr>
          </w:p>
        </w:tc>
        <w:tc>
          <w:tcPr>
            <w:tcW w:w="111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right"/>
              <w:rPr>
                <w:rFonts w:hint="default" w:ascii="Times New Roman" w:hAnsi="Times New Roman" w:eastAsia="宋体" w:cs="Times New Roman"/>
                <w:i w:val="0"/>
                <w:color w:val="000000"/>
                <w:sz w:val="20"/>
                <w:szCs w:val="20"/>
                <w:u w:val="none"/>
              </w:rPr>
            </w:pPr>
          </w:p>
        </w:tc>
        <w:tc>
          <w:tcPr>
            <w:tcW w:w="88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right"/>
              <w:rPr>
                <w:rFonts w:hint="default" w:ascii="Times New Roman" w:hAnsi="Times New Roman" w:eastAsia="宋体" w:cs="Times New Roman"/>
                <w:i w:val="0"/>
                <w:color w:val="000000"/>
                <w:sz w:val="20"/>
                <w:szCs w:val="20"/>
                <w:u w:val="none"/>
              </w:rPr>
            </w:pPr>
          </w:p>
        </w:tc>
        <w:tc>
          <w:tcPr>
            <w:tcW w:w="10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jc w:val="right"/>
              <w:rPr>
                <w:rFonts w:hint="default" w:ascii="Times New Roman" w:hAnsi="Times New Roman" w:eastAsia="宋体" w:cs="Times New Roman"/>
                <w:i w:val="0"/>
                <w:color w:val="000000"/>
                <w:sz w:val="20"/>
                <w:szCs w:val="20"/>
                <w:u w:val="none"/>
              </w:rPr>
            </w:pPr>
          </w:p>
        </w:tc>
        <w:tc>
          <w:tcPr>
            <w:tcW w:w="684"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2" w:hRule="atLeast"/>
          <w:jc w:val="center"/>
        </w:trPr>
        <w:tc>
          <w:tcPr>
            <w:tcW w:w="9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1030603</w:t>
            </w:r>
          </w:p>
        </w:tc>
        <w:tc>
          <w:tcPr>
            <w:tcW w:w="25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三、产权转让收入</w:t>
            </w:r>
          </w:p>
        </w:tc>
        <w:tc>
          <w:tcPr>
            <w:tcW w:w="1301"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9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996"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112"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89"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063"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684"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67" w:hRule="atLeast"/>
          <w:jc w:val="center"/>
        </w:trPr>
        <w:tc>
          <w:tcPr>
            <w:tcW w:w="9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103060304</w:t>
            </w:r>
          </w:p>
        </w:tc>
        <w:tc>
          <w:tcPr>
            <w:tcW w:w="25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国有股权、股份转让收入</w:t>
            </w:r>
          </w:p>
        </w:tc>
        <w:tc>
          <w:tcPr>
            <w:tcW w:w="1301"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98" w:type="dxa"/>
            <w:tcBorders>
              <w:top w:val="single" w:color="auto" w:sz="4" w:space="0"/>
              <w:left w:val="single" w:color="auto" w:sz="4" w:space="0"/>
              <w:bottom w:val="single" w:color="auto" w:sz="4" w:space="0"/>
              <w:right w:val="single" w:color="auto" w:sz="4" w:space="0"/>
            </w:tcBorders>
            <w:noWrap w:val="0"/>
            <w:vAlign w:val="bottom"/>
          </w:tcPr>
          <w:p>
            <w:pPr>
              <w:rPr>
                <w:rFonts w:hint="default" w:ascii="Times New Roman" w:hAnsi="Times New Roman" w:eastAsia="宋体" w:cs="Times New Roman"/>
                <w:i w:val="0"/>
                <w:color w:val="000000"/>
                <w:sz w:val="20"/>
                <w:szCs w:val="20"/>
                <w:u w:val="none"/>
              </w:rPr>
            </w:pPr>
          </w:p>
        </w:tc>
        <w:tc>
          <w:tcPr>
            <w:tcW w:w="996"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112"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89"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063"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684"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67" w:hRule="atLeast"/>
          <w:jc w:val="center"/>
        </w:trPr>
        <w:tc>
          <w:tcPr>
            <w:tcW w:w="9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103060305</w:t>
            </w:r>
          </w:p>
        </w:tc>
        <w:tc>
          <w:tcPr>
            <w:tcW w:w="25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国有独资企业产权转让收入</w:t>
            </w:r>
          </w:p>
        </w:tc>
        <w:tc>
          <w:tcPr>
            <w:tcW w:w="1301"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9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996"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112"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89"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063"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684"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2" w:hRule="atLeast"/>
          <w:jc w:val="center"/>
        </w:trPr>
        <w:tc>
          <w:tcPr>
            <w:tcW w:w="9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1030604</w:t>
            </w:r>
          </w:p>
        </w:tc>
        <w:tc>
          <w:tcPr>
            <w:tcW w:w="25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四、清算收入</w:t>
            </w:r>
          </w:p>
        </w:tc>
        <w:tc>
          <w:tcPr>
            <w:tcW w:w="1301"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9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996"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112"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89"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063"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684"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67" w:hRule="atLeast"/>
          <w:jc w:val="center"/>
        </w:trPr>
        <w:tc>
          <w:tcPr>
            <w:tcW w:w="9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103060401</w:t>
            </w:r>
          </w:p>
        </w:tc>
        <w:tc>
          <w:tcPr>
            <w:tcW w:w="25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国有股权、股份清算收入</w:t>
            </w:r>
          </w:p>
        </w:tc>
        <w:tc>
          <w:tcPr>
            <w:tcW w:w="1301"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9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996"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112"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89"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063"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684"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67" w:hRule="atLeast"/>
          <w:jc w:val="center"/>
        </w:trPr>
        <w:tc>
          <w:tcPr>
            <w:tcW w:w="9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103060402</w:t>
            </w:r>
          </w:p>
        </w:tc>
        <w:tc>
          <w:tcPr>
            <w:tcW w:w="25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国有独资企业清算收入</w:t>
            </w:r>
          </w:p>
        </w:tc>
        <w:tc>
          <w:tcPr>
            <w:tcW w:w="1301"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9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996"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112"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89"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063"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684"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67" w:hRule="atLeast"/>
          <w:jc w:val="center"/>
        </w:trPr>
        <w:tc>
          <w:tcPr>
            <w:tcW w:w="9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1030699</w:t>
            </w:r>
          </w:p>
        </w:tc>
        <w:tc>
          <w:tcPr>
            <w:tcW w:w="25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五、其他国有资本经营预算收入</w:t>
            </w:r>
          </w:p>
        </w:tc>
        <w:tc>
          <w:tcPr>
            <w:tcW w:w="1301"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9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996"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112"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89"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063"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684"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2" w:hRule="atLeast"/>
          <w:jc w:val="center"/>
        </w:trPr>
        <w:tc>
          <w:tcPr>
            <w:tcW w:w="9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w:t>
            </w:r>
          </w:p>
        </w:tc>
        <w:tc>
          <w:tcPr>
            <w:tcW w:w="25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ind w:firstLineChars="10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w:t>
            </w:r>
          </w:p>
        </w:tc>
        <w:tc>
          <w:tcPr>
            <w:tcW w:w="1301"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9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996"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112"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89"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063"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684"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2" w:hRule="atLeast"/>
          <w:jc w:val="center"/>
        </w:trPr>
        <w:tc>
          <w:tcPr>
            <w:tcW w:w="923" w:type="dxa"/>
            <w:tcBorders>
              <w:top w:val="single" w:color="auto" w:sz="4" w:space="0"/>
              <w:left w:val="single" w:color="auto" w:sz="4" w:space="0"/>
              <w:bottom w:val="single" w:color="auto" w:sz="4" w:space="0"/>
              <w:right w:val="single" w:color="auto" w:sz="4" w:space="0"/>
            </w:tcBorders>
            <w:noWrap w:val="0"/>
            <w:vAlign w:val="center"/>
          </w:tcPr>
          <w:p>
            <w:pPr>
              <w:jc w:val="left"/>
              <w:rPr>
                <w:rFonts w:hint="default" w:ascii="Times New Roman" w:hAnsi="Times New Roman" w:eastAsia="宋体" w:cs="Times New Roman"/>
                <w:i w:val="0"/>
                <w:color w:val="000000"/>
                <w:kern w:val="0"/>
                <w:sz w:val="20"/>
                <w:szCs w:val="20"/>
                <w:u w:val="none"/>
                <w:lang w:val="en-US" w:eastAsia="zh-CN" w:bidi="ar"/>
              </w:rPr>
            </w:pPr>
          </w:p>
        </w:tc>
        <w:tc>
          <w:tcPr>
            <w:tcW w:w="25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b/>
                <w:i w:val="0"/>
                <w:color w:val="000000"/>
                <w:kern w:val="0"/>
                <w:sz w:val="20"/>
                <w:szCs w:val="20"/>
                <w:u w:val="none"/>
                <w:lang w:val="en-US" w:eastAsia="zh-CN" w:bidi="ar"/>
              </w:rPr>
              <w:t>收入合计</w:t>
            </w:r>
          </w:p>
        </w:tc>
        <w:tc>
          <w:tcPr>
            <w:tcW w:w="130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902</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902</w:t>
            </w:r>
          </w:p>
        </w:tc>
        <w:tc>
          <w:tcPr>
            <w:tcW w:w="9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1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1018</w:t>
            </w:r>
          </w:p>
        </w:tc>
        <w:tc>
          <w:tcPr>
            <w:tcW w:w="8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1018</w:t>
            </w:r>
          </w:p>
        </w:tc>
        <w:tc>
          <w:tcPr>
            <w:tcW w:w="10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68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val="en-US" w:eastAsia="zh-CN" w:bidi="ar"/>
              </w:rPr>
            </w:pPr>
            <w:r>
              <w:rPr>
                <w:rFonts w:hint="default" w:ascii="Times New Roman" w:hAnsi="Times New Roman" w:eastAsia="宋体" w:cs="Times New Roman"/>
                <w:b/>
                <w:i w:val="0"/>
                <w:color w:val="000000"/>
                <w:kern w:val="0"/>
                <w:sz w:val="20"/>
                <w:szCs w:val="20"/>
                <w:u w:val="none"/>
                <w:lang w:val="en-US" w:eastAsia="zh-CN" w:bidi="ar"/>
              </w:rPr>
              <w:t>12.86%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2" w:hRule="atLeast"/>
          <w:jc w:val="center"/>
        </w:trPr>
        <w:tc>
          <w:tcPr>
            <w:tcW w:w="9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p>
        </w:tc>
        <w:tc>
          <w:tcPr>
            <w:tcW w:w="25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ind w:firstLineChars="100"/>
              <w:jc w:val="left"/>
              <w:textAlignment w:val="center"/>
              <w:rPr>
                <w:rFonts w:hint="default" w:ascii="Times New Roman" w:hAnsi="Times New Roman" w:eastAsia="宋体" w:cs="Times New Roman"/>
                <w:i w:val="0"/>
                <w:color w:val="000000"/>
                <w:kern w:val="0"/>
                <w:sz w:val="20"/>
                <w:szCs w:val="20"/>
                <w:u w:val="none"/>
                <w:lang w:val="en-US" w:eastAsia="zh-CN" w:bidi="ar"/>
              </w:rPr>
            </w:pPr>
          </w:p>
        </w:tc>
        <w:tc>
          <w:tcPr>
            <w:tcW w:w="1301"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9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996"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112"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89"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063"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684"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i w:val="0"/>
                <w:color w:val="000000"/>
                <w:sz w:val="20"/>
                <w:szCs w:val="20"/>
                <w:u w:val="none"/>
              </w:rPr>
            </w:pPr>
          </w:p>
        </w:tc>
      </w:tr>
    </w:tbl>
    <w:p>
      <w:pPr>
        <w:pStyle w:val="7"/>
        <w:rPr>
          <w:rFonts w:hint="default" w:ascii="Times New Roman" w:hAnsi="Times New Roman" w:cs="Times New Roman"/>
          <w:lang w:val="en-US" w:eastAsia="zh-CN"/>
        </w:rPr>
      </w:pPr>
    </w:p>
    <w:tbl>
      <w:tblPr>
        <w:tblStyle w:val="8"/>
        <w:tblpPr w:leftFromText="180" w:rightFromText="180" w:vertAnchor="text" w:horzAnchor="page" w:tblpXSpec="center" w:tblpY="-12914"/>
        <w:tblOverlap w:val="never"/>
        <w:tblW w:w="1055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920"/>
        <w:gridCol w:w="1200"/>
        <w:gridCol w:w="456"/>
        <w:gridCol w:w="558"/>
        <w:gridCol w:w="488"/>
        <w:gridCol w:w="503"/>
        <w:gridCol w:w="437"/>
        <w:gridCol w:w="503"/>
        <w:gridCol w:w="471"/>
        <w:gridCol w:w="501"/>
        <w:gridCol w:w="504"/>
        <w:gridCol w:w="507"/>
        <w:gridCol w:w="546"/>
        <w:gridCol w:w="486"/>
        <w:gridCol w:w="457"/>
        <w:gridCol w:w="464"/>
        <w:gridCol w:w="447"/>
        <w:gridCol w:w="521"/>
        <w:gridCol w:w="5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2" w:hRule="atLeast"/>
          <w:jc w:val="center"/>
        </w:trPr>
        <w:tc>
          <w:tcPr>
            <w:tcW w:w="920" w:type="dxa"/>
            <w:noWrap w:val="0"/>
            <w:vAlign w:val="bottom"/>
          </w:tcPr>
          <w:p>
            <w:pPr>
              <w:keepNext w:val="0"/>
              <w:keepLines w:val="0"/>
              <w:widowControl/>
              <w:suppressLineNumbers w:val="0"/>
              <w:jc w:val="left"/>
              <w:textAlignment w:val="bottom"/>
              <w:rPr>
                <w:rFonts w:hint="default" w:ascii="Times New Roman" w:hAnsi="Times New Roman" w:eastAsia="宋体" w:cs="Times New Roman"/>
                <w:i w:val="0"/>
                <w:color w:val="000000"/>
                <w:sz w:val="20"/>
                <w:szCs w:val="20"/>
                <w:u w:val="none"/>
                <w:lang w:val="en-US"/>
              </w:rPr>
            </w:pPr>
            <w:r>
              <w:rPr>
                <w:rFonts w:hint="default" w:ascii="Times New Roman" w:hAnsi="Times New Roman" w:eastAsia="宋体" w:cs="Times New Roman"/>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表1</w:t>
            </w:r>
            <w:r>
              <w:rPr>
                <w:rFonts w:hint="default" w:ascii="Times New Roman" w:hAnsi="Times New Roman" w:cs="Times New Roman"/>
                <w:i w:val="0"/>
                <w:color w:val="000000"/>
                <w:kern w:val="0"/>
                <w:sz w:val="20"/>
                <w:szCs w:val="20"/>
                <w:u w:val="none"/>
                <w:lang w:val="en-US" w:eastAsia="zh-CN" w:bidi="ar"/>
              </w:rPr>
              <w:t>9</w:t>
            </w:r>
          </w:p>
        </w:tc>
        <w:tc>
          <w:tcPr>
            <w:tcW w:w="1200" w:type="dxa"/>
            <w:noWrap w:val="0"/>
            <w:vAlign w:val="center"/>
          </w:tcPr>
          <w:p>
            <w:pPr>
              <w:rPr>
                <w:rFonts w:hint="default" w:ascii="Times New Roman" w:hAnsi="Times New Roman" w:eastAsia="宋体" w:cs="Times New Roman"/>
                <w:i w:val="0"/>
                <w:color w:val="000000"/>
                <w:sz w:val="24"/>
                <w:szCs w:val="24"/>
                <w:u w:val="none"/>
              </w:rPr>
            </w:pPr>
          </w:p>
        </w:tc>
        <w:tc>
          <w:tcPr>
            <w:tcW w:w="456" w:type="dxa"/>
            <w:noWrap w:val="0"/>
            <w:vAlign w:val="center"/>
          </w:tcPr>
          <w:p>
            <w:pPr>
              <w:rPr>
                <w:rFonts w:hint="default" w:ascii="Times New Roman" w:hAnsi="Times New Roman" w:eastAsia="宋体" w:cs="Times New Roman"/>
                <w:i w:val="0"/>
                <w:color w:val="000000"/>
                <w:sz w:val="24"/>
                <w:szCs w:val="24"/>
                <w:u w:val="none"/>
              </w:rPr>
            </w:pPr>
          </w:p>
        </w:tc>
        <w:tc>
          <w:tcPr>
            <w:tcW w:w="558" w:type="dxa"/>
            <w:noWrap w:val="0"/>
            <w:vAlign w:val="center"/>
          </w:tcPr>
          <w:p>
            <w:pPr>
              <w:rPr>
                <w:rFonts w:hint="default" w:ascii="Times New Roman" w:hAnsi="Times New Roman" w:eastAsia="宋体" w:cs="Times New Roman"/>
                <w:i w:val="0"/>
                <w:color w:val="000000"/>
                <w:sz w:val="24"/>
                <w:szCs w:val="24"/>
                <w:u w:val="none"/>
              </w:rPr>
            </w:pPr>
          </w:p>
        </w:tc>
        <w:tc>
          <w:tcPr>
            <w:tcW w:w="488" w:type="dxa"/>
            <w:noWrap w:val="0"/>
            <w:vAlign w:val="center"/>
          </w:tcPr>
          <w:p>
            <w:pPr>
              <w:rPr>
                <w:rFonts w:hint="default" w:ascii="Times New Roman" w:hAnsi="Times New Roman" w:eastAsia="宋体" w:cs="Times New Roman"/>
                <w:i w:val="0"/>
                <w:color w:val="000000"/>
                <w:sz w:val="24"/>
                <w:szCs w:val="24"/>
                <w:u w:val="none"/>
              </w:rPr>
            </w:pPr>
          </w:p>
        </w:tc>
        <w:tc>
          <w:tcPr>
            <w:tcW w:w="503" w:type="dxa"/>
            <w:noWrap w:val="0"/>
            <w:vAlign w:val="center"/>
          </w:tcPr>
          <w:p>
            <w:pPr>
              <w:rPr>
                <w:rFonts w:hint="default" w:ascii="Times New Roman" w:hAnsi="Times New Roman" w:eastAsia="宋体" w:cs="Times New Roman"/>
                <w:i w:val="0"/>
                <w:color w:val="000000"/>
                <w:sz w:val="24"/>
                <w:szCs w:val="24"/>
                <w:u w:val="none"/>
              </w:rPr>
            </w:pPr>
          </w:p>
        </w:tc>
        <w:tc>
          <w:tcPr>
            <w:tcW w:w="437" w:type="dxa"/>
            <w:noWrap w:val="0"/>
            <w:vAlign w:val="center"/>
          </w:tcPr>
          <w:p>
            <w:pPr>
              <w:rPr>
                <w:rFonts w:hint="default" w:ascii="Times New Roman" w:hAnsi="Times New Roman" w:eastAsia="宋体" w:cs="Times New Roman"/>
                <w:i w:val="0"/>
                <w:color w:val="000000"/>
                <w:sz w:val="24"/>
                <w:szCs w:val="24"/>
                <w:u w:val="none"/>
              </w:rPr>
            </w:pPr>
          </w:p>
        </w:tc>
        <w:tc>
          <w:tcPr>
            <w:tcW w:w="503" w:type="dxa"/>
            <w:noWrap w:val="0"/>
            <w:vAlign w:val="center"/>
          </w:tcPr>
          <w:p>
            <w:pPr>
              <w:rPr>
                <w:rFonts w:hint="default" w:ascii="Times New Roman" w:hAnsi="Times New Roman" w:eastAsia="宋体" w:cs="Times New Roman"/>
                <w:i w:val="0"/>
                <w:color w:val="000000"/>
                <w:sz w:val="24"/>
                <w:szCs w:val="24"/>
                <w:u w:val="none"/>
              </w:rPr>
            </w:pPr>
          </w:p>
        </w:tc>
        <w:tc>
          <w:tcPr>
            <w:tcW w:w="471" w:type="dxa"/>
            <w:noWrap w:val="0"/>
            <w:vAlign w:val="center"/>
          </w:tcPr>
          <w:p>
            <w:pPr>
              <w:rPr>
                <w:rFonts w:hint="default" w:ascii="Times New Roman" w:hAnsi="Times New Roman" w:eastAsia="宋体" w:cs="Times New Roman"/>
                <w:i w:val="0"/>
                <w:color w:val="000000"/>
                <w:sz w:val="24"/>
                <w:szCs w:val="24"/>
                <w:u w:val="none"/>
              </w:rPr>
            </w:pPr>
          </w:p>
        </w:tc>
        <w:tc>
          <w:tcPr>
            <w:tcW w:w="501" w:type="dxa"/>
            <w:noWrap w:val="0"/>
            <w:vAlign w:val="center"/>
          </w:tcPr>
          <w:p>
            <w:pPr>
              <w:rPr>
                <w:rFonts w:hint="default" w:ascii="Times New Roman" w:hAnsi="Times New Roman" w:eastAsia="宋体" w:cs="Times New Roman"/>
                <w:i w:val="0"/>
                <w:color w:val="000000"/>
                <w:sz w:val="24"/>
                <w:szCs w:val="24"/>
                <w:u w:val="none"/>
              </w:rPr>
            </w:pPr>
          </w:p>
        </w:tc>
        <w:tc>
          <w:tcPr>
            <w:tcW w:w="504" w:type="dxa"/>
            <w:noWrap w:val="0"/>
            <w:vAlign w:val="center"/>
          </w:tcPr>
          <w:p>
            <w:pPr>
              <w:rPr>
                <w:rFonts w:hint="default" w:ascii="Times New Roman" w:hAnsi="Times New Roman" w:eastAsia="宋体" w:cs="Times New Roman"/>
                <w:i w:val="0"/>
                <w:color w:val="000000"/>
                <w:sz w:val="24"/>
                <w:szCs w:val="24"/>
                <w:u w:val="none"/>
              </w:rPr>
            </w:pPr>
          </w:p>
        </w:tc>
        <w:tc>
          <w:tcPr>
            <w:tcW w:w="507" w:type="dxa"/>
            <w:noWrap w:val="0"/>
            <w:vAlign w:val="center"/>
          </w:tcPr>
          <w:p>
            <w:pPr>
              <w:rPr>
                <w:rFonts w:hint="default" w:ascii="Times New Roman" w:hAnsi="Times New Roman" w:eastAsia="宋体" w:cs="Times New Roman"/>
                <w:i w:val="0"/>
                <w:color w:val="000000"/>
                <w:sz w:val="24"/>
                <w:szCs w:val="24"/>
                <w:u w:val="none"/>
              </w:rPr>
            </w:pPr>
          </w:p>
        </w:tc>
        <w:tc>
          <w:tcPr>
            <w:tcW w:w="546" w:type="dxa"/>
            <w:noWrap w:val="0"/>
            <w:vAlign w:val="center"/>
          </w:tcPr>
          <w:p>
            <w:pPr>
              <w:rPr>
                <w:rFonts w:hint="default" w:ascii="Times New Roman" w:hAnsi="Times New Roman" w:eastAsia="宋体" w:cs="Times New Roman"/>
                <w:i w:val="0"/>
                <w:color w:val="000000"/>
                <w:sz w:val="24"/>
                <w:szCs w:val="24"/>
                <w:u w:val="none"/>
              </w:rPr>
            </w:pPr>
          </w:p>
        </w:tc>
        <w:tc>
          <w:tcPr>
            <w:tcW w:w="486" w:type="dxa"/>
            <w:noWrap w:val="0"/>
            <w:vAlign w:val="center"/>
          </w:tcPr>
          <w:p>
            <w:pPr>
              <w:rPr>
                <w:rFonts w:hint="default" w:ascii="Times New Roman" w:hAnsi="Times New Roman" w:eastAsia="宋体" w:cs="Times New Roman"/>
                <w:i w:val="0"/>
                <w:color w:val="000000"/>
                <w:sz w:val="24"/>
                <w:szCs w:val="24"/>
                <w:u w:val="none"/>
              </w:rPr>
            </w:pPr>
          </w:p>
        </w:tc>
        <w:tc>
          <w:tcPr>
            <w:tcW w:w="457" w:type="dxa"/>
            <w:noWrap w:val="0"/>
            <w:vAlign w:val="center"/>
          </w:tcPr>
          <w:p>
            <w:pPr>
              <w:rPr>
                <w:rFonts w:hint="default" w:ascii="Times New Roman" w:hAnsi="Times New Roman" w:eastAsia="宋体" w:cs="Times New Roman"/>
                <w:i w:val="0"/>
                <w:color w:val="000000"/>
                <w:sz w:val="24"/>
                <w:szCs w:val="24"/>
                <w:u w:val="none"/>
              </w:rPr>
            </w:pPr>
          </w:p>
        </w:tc>
        <w:tc>
          <w:tcPr>
            <w:tcW w:w="464" w:type="dxa"/>
            <w:noWrap w:val="0"/>
            <w:vAlign w:val="center"/>
          </w:tcPr>
          <w:p>
            <w:pPr>
              <w:rPr>
                <w:rFonts w:hint="default" w:ascii="Times New Roman" w:hAnsi="Times New Roman" w:eastAsia="宋体" w:cs="Times New Roman"/>
                <w:i w:val="0"/>
                <w:color w:val="000000"/>
                <w:sz w:val="24"/>
                <w:szCs w:val="24"/>
                <w:u w:val="none"/>
              </w:rPr>
            </w:pPr>
          </w:p>
        </w:tc>
        <w:tc>
          <w:tcPr>
            <w:tcW w:w="447" w:type="dxa"/>
            <w:noWrap w:val="0"/>
            <w:vAlign w:val="center"/>
          </w:tcPr>
          <w:p>
            <w:pPr>
              <w:rPr>
                <w:rFonts w:hint="default" w:ascii="Times New Roman" w:hAnsi="Times New Roman" w:eastAsia="宋体" w:cs="Times New Roman"/>
                <w:i w:val="0"/>
                <w:color w:val="000000"/>
                <w:sz w:val="24"/>
                <w:szCs w:val="24"/>
                <w:u w:val="none"/>
              </w:rPr>
            </w:pPr>
          </w:p>
        </w:tc>
        <w:tc>
          <w:tcPr>
            <w:tcW w:w="521" w:type="dxa"/>
            <w:noWrap w:val="0"/>
            <w:vAlign w:val="center"/>
          </w:tcPr>
          <w:p>
            <w:pPr>
              <w:rPr>
                <w:rFonts w:hint="default" w:ascii="Times New Roman" w:hAnsi="Times New Roman" w:eastAsia="宋体" w:cs="Times New Roman"/>
                <w:i w:val="0"/>
                <w:color w:val="000000"/>
                <w:sz w:val="24"/>
                <w:szCs w:val="24"/>
                <w:u w:val="none"/>
              </w:rPr>
            </w:pPr>
          </w:p>
        </w:tc>
        <w:tc>
          <w:tcPr>
            <w:tcW w:w="582" w:type="dxa"/>
            <w:noWrap w:val="0"/>
            <w:vAlign w:val="center"/>
          </w:tcPr>
          <w:p>
            <w:pPr>
              <w:rPr>
                <w:rFonts w:hint="default" w:ascii="Times New Roman" w:hAnsi="Times New Roman" w:eastAsia="宋体" w:cs="Times New Roman"/>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92" w:hRule="atLeast"/>
          <w:jc w:val="center"/>
        </w:trPr>
        <w:tc>
          <w:tcPr>
            <w:tcW w:w="10551" w:type="dxa"/>
            <w:gridSpan w:val="19"/>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val="en-US" w:eastAsia="zh-CN" w:bidi="ar"/>
              </w:rPr>
            </w:pPr>
            <w:r>
              <w:rPr>
                <w:rFonts w:hint="default" w:ascii="Times New Roman" w:hAnsi="Times New Roman" w:eastAsia="宋体" w:cs="Times New Roman"/>
                <w:b/>
                <w:i w:val="0"/>
                <w:color w:val="000000"/>
                <w:kern w:val="0"/>
                <w:sz w:val="20"/>
                <w:szCs w:val="20"/>
                <w:u w:val="none"/>
                <w:lang w:val="en-US" w:eastAsia="zh-CN" w:bidi="ar"/>
              </w:rPr>
              <w:t>202</w:t>
            </w:r>
            <w:r>
              <w:rPr>
                <w:rFonts w:hint="default" w:ascii="Times New Roman" w:hAnsi="Times New Roman" w:cs="Times New Roman"/>
                <w:b/>
                <w:i w:val="0"/>
                <w:color w:val="000000"/>
                <w:kern w:val="0"/>
                <w:sz w:val="20"/>
                <w:szCs w:val="20"/>
                <w:u w:val="none"/>
                <w:lang w:val="en-US" w:eastAsia="zh-CN" w:bidi="ar"/>
              </w:rPr>
              <w:t>5</w:t>
            </w:r>
            <w:r>
              <w:rPr>
                <w:rFonts w:hint="default" w:ascii="Times New Roman" w:hAnsi="Times New Roman" w:eastAsia="宋体" w:cs="Times New Roman"/>
                <w:b/>
                <w:i w:val="0"/>
                <w:color w:val="000000"/>
                <w:kern w:val="0"/>
                <w:sz w:val="20"/>
                <w:szCs w:val="20"/>
                <w:u w:val="none"/>
                <w:lang w:val="en-US" w:eastAsia="zh-CN" w:bidi="ar"/>
              </w:rPr>
              <w:t>年</w:t>
            </w:r>
            <w:r>
              <w:rPr>
                <w:rFonts w:hint="default" w:ascii="Times New Roman" w:hAnsi="Times New Roman" w:cs="Times New Roman"/>
                <w:b/>
                <w:i w:val="0"/>
                <w:color w:val="000000"/>
                <w:kern w:val="0"/>
                <w:sz w:val="20"/>
                <w:szCs w:val="20"/>
                <w:u w:val="none"/>
                <w:lang w:val="en-US" w:eastAsia="zh-CN" w:bidi="ar"/>
              </w:rPr>
              <w:t>泽普县本级</w:t>
            </w:r>
            <w:r>
              <w:rPr>
                <w:rFonts w:hint="default" w:ascii="Times New Roman" w:hAnsi="Times New Roman" w:eastAsia="宋体" w:cs="Times New Roman"/>
                <w:b/>
                <w:i w:val="0"/>
                <w:color w:val="000000"/>
                <w:kern w:val="0"/>
                <w:sz w:val="20"/>
                <w:szCs w:val="20"/>
                <w:u w:val="none"/>
                <w:lang w:val="en-US" w:eastAsia="zh-CN" w:bidi="ar"/>
              </w:rPr>
              <w:t>国有资本经营预算支出表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3" w:hRule="atLeast"/>
          <w:jc w:val="center"/>
        </w:trPr>
        <w:tc>
          <w:tcPr>
            <w:tcW w:w="920" w:type="dxa"/>
            <w:noWrap w:val="0"/>
            <w:vAlign w:val="center"/>
          </w:tcPr>
          <w:p>
            <w:pPr>
              <w:jc w:val="center"/>
              <w:rPr>
                <w:rFonts w:hint="default" w:ascii="Times New Roman" w:hAnsi="Times New Roman" w:eastAsia="宋体" w:cs="Times New Roman"/>
                <w:i w:val="0"/>
                <w:color w:val="000000"/>
                <w:sz w:val="20"/>
                <w:szCs w:val="20"/>
                <w:u w:val="none"/>
              </w:rPr>
            </w:pPr>
          </w:p>
        </w:tc>
        <w:tc>
          <w:tcPr>
            <w:tcW w:w="1200" w:type="dxa"/>
            <w:noWrap w:val="0"/>
            <w:vAlign w:val="center"/>
          </w:tcPr>
          <w:p>
            <w:pPr>
              <w:jc w:val="center"/>
              <w:rPr>
                <w:rFonts w:hint="default" w:ascii="Times New Roman" w:hAnsi="Times New Roman" w:eastAsia="宋体" w:cs="Times New Roman"/>
                <w:i w:val="0"/>
                <w:color w:val="000000"/>
                <w:sz w:val="20"/>
                <w:szCs w:val="20"/>
                <w:u w:val="none"/>
              </w:rPr>
            </w:pPr>
          </w:p>
        </w:tc>
        <w:tc>
          <w:tcPr>
            <w:tcW w:w="456" w:type="dxa"/>
            <w:noWrap w:val="0"/>
            <w:vAlign w:val="bottom"/>
          </w:tcPr>
          <w:p>
            <w:pPr>
              <w:rPr>
                <w:rFonts w:hint="default" w:ascii="Times New Roman" w:hAnsi="Times New Roman" w:eastAsia="宋体" w:cs="Times New Roman"/>
                <w:i w:val="0"/>
                <w:color w:val="000000"/>
                <w:sz w:val="20"/>
                <w:szCs w:val="20"/>
                <w:u w:val="none"/>
              </w:rPr>
            </w:pPr>
          </w:p>
        </w:tc>
        <w:tc>
          <w:tcPr>
            <w:tcW w:w="558" w:type="dxa"/>
            <w:noWrap w:val="0"/>
            <w:vAlign w:val="bottom"/>
          </w:tcPr>
          <w:p>
            <w:pPr>
              <w:rPr>
                <w:rFonts w:hint="default" w:ascii="Times New Roman" w:hAnsi="Times New Roman" w:eastAsia="宋体" w:cs="Times New Roman"/>
                <w:i w:val="0"/>
                <w:color w:val="000000"/>
                <w:sz w:val="20"/>
                <w:szCs w:val="20"/>
                <w:u w:val="none"/>
              </w:rPr>
            </w:pPr>
          </w:p>
        </w:tc>
        <w:tc>
          <w:tcPr>
            <w:tcW w:w="488" w:type="dxa"/>
            <w:noWrap w:val="0"/>
            <w:vAlign w:val="bottom"/>
          </w:tcPr>
          <w:p>
            <w:pPr>
              <w:rPr>
                <w:rFonts w:hint="default" w:ascii="Times New Roman" w:hAnsi="Times New Roman" w:eastAsia="宋体" w:cs="Times New Roman"/>
                <w:i w:val="0"/>
                <w:color w:val="000000"/>
                <w:sz w:val="20"/>
                <w:szCs w:val="20"/>
                <w:u w:val="none"/>
              </w:rPr>
            </w:pPr>
          </w:p>
        </w:tc>
        <w:tc>
          <w:tcPr>
            <w:tcW w:w="503" w:type="dxa"/>
            <w:noWrap w:val="0"/>
            <w:vAlign w:val="bottom"/>
          </w:tcPr>
          <w:p>
            <w:pPr>
              <w:rPr>
                <w:rFonts w:hint="default" w:ascii="Times New Roman" w:hAnsi="Times New Roman" w:eastAsia="宋体" w:cs="Times New Roman"/>
                <w:i w:val="0"/>
                <w:color w:val="000000"/>
                <w:sz w:val="20"/>
                <w:szCs w:val="20"/>
                <w:u w:val="none"/>
              </w:rPr>
            </w:pPr>
          </w:p>
        </w:tc>
        <w:tc>
          <w:tcPr>
            <w:tcW w:w="437" w:type="dxa"/>
            <w:noWrap w:val="0"/>
            <w:vAlign w:val="bottom"/>
          </w:tcPr>
          <w:p>
            <w:pPr>
              <w:rPr>
                <w:rFonts w:hint="default" w:ascii="Times New Roman" w:hAnsi="Times New Roman" w:eastAsia="宋体" w:cs="Times New Roman"/>
                <w:i w:val="0"/>
                <w:color w:val="000000"/>
                <w:sz w:val="20"/>
                <w:szCs w:val="20"/>
                <w:u w:val="none"/>
              </w:rPr>
            </w:pPr>
          </w:p>
        </w:tc>
        <w:tc>
          <w:tcPr>
            <w:tcW w:w="503" w:type="dxa"/>
            <w:noWrap w:val="0"/>
            <w:vAlign w:val="bottom"/>
          </w:tcPr>
          <w:p>
            <w:pPr>
              <w:rPr>
                <w:rFonts w:hint="default" w:ascii="Times New Roman" w:hAnsi="Times New Roman" w:eastAsia="宋体" w:cs="Times New Roman"/>
                <w:i w:val="0"/>
                <w:color w:val="000000"/>
                <w:sz w:val="20"/>
                <w:szCs w:val="20"/>
                <w:u w:val="none"/>
              </w:rPr>
            </w:pPr>
          </w:p>
        </w:tc>
        <w:tc>
          <w:tcPr>
            <w:tcW w:w="471" w:type="dxa"/>
            <w:noWrap w:val="0"/>
            <w:vAlign w:val="bottom"/>
          </w:tcPr>
          <w:p>
            <w:pPr>
              <w:rPr>
                <w:rFonts w:hint="default" w:ascii="Times New Roman" w:hAnsi="Times New Roman" w:eastAsia="宋体" w:cs="Times New Roman"/>
                <w:i w:val="0"/>
                <w:color w:val="000000"/>
                <w:sz w:val="20"/>
                <w:szCs w:val="20"/>
                <w:u w:val="none"/>
              </w:rPr>
            </w:pPr>
          </w:p>
        </w:tc>
        <w:tc>
          <w:tcPr>
            <w:tcW w:w="501" w:type="dxa"/>
            <w:noWrap w:val="0"/>
            <w:vAlign w:val="bottom"/>
          </w:tcPr>
          <w:p>
            <w:pPr>
              <w:rPr>
                <w:rFonts w:hint="default" w:ascii="Times New Roman" w:hAnsi="Times New Roman" w:eastAsia="宋体" w:cs="Times New Roman"/>
                <w:i w:val="0"/>
                <w:color w:val="000000"/>
                <w:sz w:val="20"/>
                <w:szCs w:val="20"/>
                <w:u w:val="none"/>
              </w:rPr>
            </w:pPr>
          </w:p>
        </w:tc>
        <w:tc>
          <w:tcPr>
            <w:tcW w:w="504" w:type="dxa"/>
            <w:noWrap w:val="0"/>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0"/>
                <w:szCs w:val="20"/>
                <w:u w:val="none"/>
              </w:rPr>
            </w:pPr>
          </w:p>
        </w:tc>
        <w:tc>
          <w:tcPr>
            <w:tcW w:w="507"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kern w:val="0"/>
                <w:sz w:val="20"/>
                <w:szCs w:val="20"/>
                <w:u w:val="none"/>
                <w:lang w:val="en-US" w:eastAsia="zh-CN" w:bidi="ar"/>
              </w:rPr>
            </w:pPr>
          </w:p>
        </w:tc>
        <w:tc>
          <w:tcPr>
            <w:tcW w:w="546"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kern w:val="0"/>
                <w:sz w:val="20"/>
                <w:szCs w:val="20"/>
                <w:u w:val="none"/>
                <w:lang w:val="en-US" w:eastAsia="zh-CN" w:bidi="ar"/>
              </w:rPr>
            </w:pPr>
          </w:p>
        </w:tc>
        <w:tc>
          <w:tcPr>
            <w:tcW w:w="486"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kern w:val="0"/>
                <w:sz w:val="20"/>
                <w:szCs w:val="20"/>
                <w:u w:val="none"/>
                <w:lang w:val="en-US" w:eastAsia="zh-CN" w:bidi="ar"/>
              </w:rPr>
            </w:pPr>
          </w:p>
        </w:tc>
        <w:tc>
          <w:tcPr>
            <w:tcW w:w="457"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kern w:val="0"/>
                <w:sz w:val="20"/>
                <w:szCs w:val="20"/>
                <w:u w:val="none"/>
                <w:lang w:val="en-US" w:eastAsia="zh-CN" w:bidi="ar"/>
              </w:rPr>
            </w:pPr>
          </w:p>
        </w:tc>
        <w:tc>
          <w:tcPr>
            <w:tcW w:w="464"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kern w:val="0"/>
                <w:sz w:val="20"/>
                <w:szCs w:val="20"/>
                <w:u w:val="none"/>
                <w:lang w:val="en-US" w:eastAsia="zh-CN" w:bidi="ar"/>
              </w:rPr>
            </w:pPr>
          </w:p>
        </w:tc>
        <w:tc>
          <w:tcPr>
            <w:tcW w:w="447"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kern w:val="0"/>
                <w:sz w:val="20"/>
                <w:szCs w:val="20"/>
                <w:u w:val="none"/>
                <w:lang w:val="en-US" w:eastAsia="zh-CN" w:bidi="ar"/>
              </w:rPr>
            </w:pPr>
          </w:p>
        </w:tc>
        <w:tc>
          <w:tcPr>
            <w:tcW w:w="1103" w:type="dxa"/>
            <w:gridSpan w:val="2"/>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08"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科目编码</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科目名称</w:t>
            </w:r>
          </w:p>
        </w:tc>
        <w:tc>
          <w:tcPr>
            <w:tcW w:w="4421"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CN" w:bidi="ar"/>
              </w:rPr>
              <w:t>202</w:t>
            </w:r>
            <w:r>
              <w:rPr>
                <w:rFonts w:hint="default" w:ascii="Times New Roman" w:hAnsi="Times New Roman" w:cs="Times New Roman"/>
                <w:b/>
                <w:bCs/>
                <w:i w:val="0"/>
                <w:color w:val="000000"/>
                <w:kern w:val="0"/>
                <w:sz w:val="20"/>
                <w:szCs w:val="20"/>
                <w:u w:val="none"/>
                <w:lang w:val="en-US" w:eastAsia="zh-CN" w:bidi="ar"/>
              </w:rPr>
              <w:t>4</w:t>
            </w:r>
            <w:r>
              <w:rPr>
                <w:rFonts w:hint="default" w:ascii="Times New Roman" w:hAnsi="Times New Roman" w:eastAsia="宋体" w:cs="Times New Roman"/>
                <w:b/>
                <w:bCs/>
                <w:i w:val="0"/>
                <w:color w:val="000000"/>
                <w:kern w:val="0"/>
                <w:sz w:val="20"/>
                <w:szCs w:val="20"/>
                <w:u w:val="none"/>
                <w:lang w:val="en-US" w:eastAsia="zh-CN" w:bidi="ar"/>
              </w:rPr>
              <w:t>年完成数</w:t>
            </w:r>
          </w:p>
        </w:tc>
        <w:tc>
          <w:tcPr>
            <w:tcW w:w="401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0"/>
                <w:sz w:val="20"/>
                <w:szCs w:val="20"/>
                <w:u w:val="none"/>
                <w:lang w:val="en-US" w:eastAsia="zh-CN" w:bidi="ar"/>
              </w:rPr>
            </w:pPr>
            <w:r>
              <w:rPr>
                <w:rFonts w:hint="default" w:ascii="Times New Roman" w:hAnsi="Times New Roman" w:eastAsia="宋体" w:cs="Times New Roman"/>
                <w:b/>
                <w:bCs/>
                <w:i w:val="0"/>
                <w:color w:val="000000"/>
                <w:kern w:val="0"/>
                <w:sz w:val="20"/>
                <w:szCs w:val="20"/>
                <w:u w:val="none"/>
                <w:lang w:val="en-US" w:eastAsia="zh-CN" w:bidi="ar"/>
              </w:rPr>
              <w:t>202</w:t>
            </w:r>
            <w:r>
              <w:rPr>
                <w:rFonts w:hint="default" w:ascii="Times New Roman" w:hAnsi="Times New Roman" w:cs="Times New Roman"/>
                <w:b/>
                <w:bCs/>
                <w:i w:val="0"/>
                <w:color w:val="000000"/>
                <w:kern w:val="0"/>
                <w:sz w:val="20"/>
                <w:szCs w:val="20"/>
                <w:u w:val="none"/>
                <w:lang w:val="en-US" w:eastAsia="zh-CN" w:bidi="ar"/>
              </w:rPr>
              <w:t>5</w:t>
            </w:r>
            <w:r>
              <w:rPr>
                <w:rFonts w:hint="default" w:ascii="Times New Roman" w:hAnsi="Times New Roman" w:eastAsia="宋体" w:cs="Times New Roman"/>
                <w:b/>
                <w:bCs/>
                <w:i w:val="0"/>
                <w:color w:val="000000"/>
                <w:kern w:val="0"/>
                <w:sz w:val="20"/>
                <w:szCs w:val="20"/>
                <w:u w:val="none"/>
                <w:lang w:val="en-US" w:eastAsia="zh-CN" w:bidi="ar"/>
              </w:rPr>
              <w:t>年预算数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8"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color w:val="000000"/>
                <w:sz w:val="20"/>
                <w:szCs w:val="20"/>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color w:val="000000"/>
                <w:sz w:val="20"/>
                <w:szCs w:val="20"/>
                <w:u w:val="none"/>
              </w:rPr>
            </w:pPr>
          </w:p>
        </w:tc>
        <w:tc>
          <w:tcPr>
            <w:tcW w:w="45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CN" w:bidi="ar"/>
              </w:rPr>
              <w:t>合计</w:t>
            </w:r>
          </w:p>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p>
        </w:tc>
        <w:tc>
          <w:tcPr>
            <w:tcW w:w="104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CN" w:bidi="ar"/>
              </w:rPr>
              <w:t>小计</w:t>
            </w:r>
          </w:p>
        </w:tc>
        <w:tc>
          <w:tcPr>
            <w:tcW w:w="94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CN" w:bidi="ar"/>
              </w:rPr>
              <w:t>资本性支出</w:t>
            </w:r>
          </w:p>
        </w:tc>
        <w:tc>
          <w:tcPr>
            <w:tcW w:w="97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CN" w:bidi="ar"/>
              </w:rPr>
              <w:t xml:space="preserve">费用性支出 </w:t>
            </w:r>
          </w:p>
        </w:tc>
        <w:tc>
          <w:tcPr>
            <w:tcW w:w="1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CN" w:bidi="ar"/>
              </w:rPr>
              <w:t>其他支出</w:t>
            </w:r>
          </w:p>
        </w:tc>
        <w:tc>
          <w:tcPr>
            <w:tcW w:w="105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CN" w:bidi="ar"/>
              </w:rPr>
              <w:t>小计</w:t>
            </w:r>
          </w:p>
        </w:tc>
        <w:tc>
          <w:tcPr>
            <w:tcW w:w="94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CN" w:bidi="ar"/>
              </w:rPr>
              <w:t>资本性支出</w:t>
            </w:r>
          </w:p>
        </w:tc>
        <w:tc>
          <w:tcPr>
            <w:tcW w:w="9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CN" w:bidi="ar"/>
              </w:rPr>
              <w:t xml:space="preserve">费用性支出 </w:t>
            </w:r>
          </w:p>
        </w:tc>
        <w:tc>
          <w:tcPr>
            <w:tcW w:w="110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CN" w:bidi="ar"/>
              </w:rPr>
              <w:t>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76"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color w:val="000000"/>
                <w:sz w:val="20"/>
                <w:szCs w:val="20"/>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color w:val="000000"/>
                <w:sz w:val="20"/>
                <w:szCs w:val="20"/>
                <w:u w:val="none"/>
              </w:rPr>
            </w:pPr>
          </w:p>
        </w:tc>
        <w:tc>
          <w:tcPr>
            <w:tcW w:w="45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color w:val="000000"/>
                <w:sz w:val="20"/>
                <w:szCs w:val="20"/>
                <w:u w:val="none"/>
              </w:rPr>
            </w:pPr>
          </w:p>
        </w:tc>
        <w:tc>
          <w:tcPr>
            <w:tcW w:w="5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cs="Times New Roman"/>
                <w:b/>
                <w:bCs/>
                <w:i w:val="0"/>
                <w:color w:val="000000"/>
                <w:kern w:val="0"/>
                <w:sz w:val="20"/>
                <w:szCs w:val="20"/>
                <w:u w:val="none"/>
                <w:lang w:eastAsia="zh-CN" w:bidi="ar"/>
              </w:rPr>
              <w:t>泽普县</w:t>
            </w:r>
            <w:r>
              <w:rPr>
                <w:rFonts w:hint="default" w:ascii="Times New Roman" w:hAnsi="Times New Roman" w:eastAsia="宋体" w:cs="Times New Roman"/>
                <w:b/>
                <w:bCs/>
                <w:i w:val="0"/>
                <w:color w:val="000000"/>
                <w:kern w:val="0"/>
                <w:sz w:val="20"/>
                <w:szCs w:val="20"/>
                <w:u w:val="none"/>
                <w:lang w:val="en-US" w:eastAsia="zh-CN" w:bidi="ar"/>
              </w:rPr>
              <w:t>本级</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eastAsia="zh-CN" w:bidi="ar"/>
              </w:rPr>
            </w:pPr>
            <w:r>
              <w:rPr>
                <w:rFonts w:hint="default" w:ascii="Times New Roman" w:hAnsi="Times New Roman" w:eastAsia="宋体" w:cs="Times New Roman"/>
                <w:b/>
                <w:i w:val="0"/>
                <w:color w:val="000000"/>
                <w:kern w:val="0"/>
                <w:sz w:val="20"/>
                <w:szCs w:val="20"/>
                <w:u w:val="none"/>
                <w:lang w:val="en-US" w:eastAsia="zh-CN" w:bidi="ar"/>
              </w:rPr>
              <w:t>地市级</w:t>
            </w:r>
          </w:p>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i w:val="0"/>
                <w:color w:val="000000"/>
                <w:kern w:val="0"/>
                <w:sz w:val="20"/>
                <w:szCs w:val="20"/>
                <w:u w:val="none"/>
                <w:lang w:val="en-US" w:eastAsia="zh-CN" w:bidi="ar"/>
              </w:rPr>
              <w:t>以下</w:t>
            </w:r>
          </w:p>
        </w:tc>
        <w:tc>
          <w:tcPr>
            <w:tcW w:w="5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cs="Times New Roman"/>
                <w:b/>
                <w:bCs/>
                <w:i w:val="0"/>
                <w:color w:val="000000"/>
                <w:kern w:val="0"/>
                <w:sz w:val="20"/>
                <w:szCs w:val="20"/>
                <w:u w:val="none"/>
                <w:lang w:eastAsia="zh-CN" w:bidi="ar"/>
              </w:rPr>
              <w:t>泽普县</w:t>
            </w:r>
            <w:r>
              <w:rPr>
                <w:rFonts w:hint="default" w:ascii="Times New Roman" w:hAnsi="Times New Roman" w:eastAsia="宋体" w:cs="Times New Roman"/>
                <w:b/>
                <w:bCs/>
                <w:i w:val="0"/>
                <w:color w:val="000000"/>
                <w:kern w:val="0"/>
                <w:sz w:val="20"/>
                <w:szCs w:val="20"/>
                <w:u w:val="none"/>
                <w:lang w:val="en-US" w:eastAsia="zh-CN" w:bidi="ar"/>
              </w:rPr>
              <w:t>本级</w:t>
            </w:r>
          </w:p>
        </w:tc>
        <w:tc>
          <w:tcPr>
            <w:tcW w:w="4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eastAsia="zh-CN" w:bidi="ar"/>
              </w:rPr>
            </w:pPr>
            <w:r>
              <w:rPr>
                <w:rFonts w:hint="default" w:ascii="Times New Roman" w:hAnsi="Times New Roman" w:eastAsia="宋体" w:cs="Times New Roman"/>
                <w:b/>
                <w:i w:val="0"/>
                <w:color w:val="000000"/>
                <w:kern w:val="0"/>
                <w:sz w:val="20"/>
                <w:szCs w:val="20"/>
                <w:u w:val="none"/>
                <w:lang w:val="en-US" w:eastAsia="zh-CN" w:bidi="ar"/>
              </w:rPr>
              <w:t>地市级</w:t>
            </w:r>
          </w:p>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i w:val="0"/>
                <w:color w:val="000000"/>
                <w:kern w:val="0"/>
                <w:sz w:val="20"/>
                <w:szCs w:val="20"/>
                <w:u w:val="none"/>
                <w:lang w:val="en-US" w:eastAsia="zh-CN" w:bidi="ar"/>
              </w:rPr>
              <w:t>以下</w:t>
            </w:r>
          </w:p>
        </w:tc>
        <w:tc>
          <w:tcPr>
            <w:tcW w:w="5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cs="Times New Roman"/>
                <w:b/>
                <w:bCs/>
                <w:i w:val="0"/>
                <w:color w:val="000000"/>
                <w:kern w:val="0"/>
                <w:sz w:val="20"/>
                <w:szCs w:val="20"/>
                <w:u w:val="none"/>
                <w:lang w:eastAsia="zh-CN" w:bidi="ar"/>
              </w:rPr>
              <w:t>泽普县</w:t>
            </w:r>
            <w:r>
              <w:rPr>
                <w:rFonts w:hint="default" w:ascii="Times New Roman" w:hAnsi="Times New Roman" w:eastAsia="宋体" w:cs="Times New Roman"/>
                <w:b/>
                <w:bCs/>
                <w:i w:val="0"/>
                <w:color w:val="000000"/>
                <w:kern w:val="0"/>
                <w:sz w:val="20"/>
                <w:szCs w:val="20"/>
                <w:u w:val="none"/>
                <w:lang w:val="en-US" w:eastAsia="zh-CN" w:bidi="ar"/>
              </w:rPr>
              <w:t>本级</w:t>
            </w:r>
          </w:p>
        </w:tc>
        <w:tc>
          <w:tcPr>
            <w:tcW w:w="4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eastAsia="zh-CN" w:bidi="ar"/>
              </w:rPr>
            </w:pPr>
            <w:r>
              <w:rPr>
                <w:rFonts w:hint="default" w:ascii="Times New Roman" w:hAnsi="Times New Roman" w:eastAsia="宋体" w:cs="Times New Roman"/>
                <w:b/>
                <w:i w:val="0"/>
                <w:color w:val="000000"/>
                <w:kern w:val="0"/>
                <w:sz w:val="20"/>
                <w:szCs w:val="20"/>
                <w:u w:val="none"/>
                <w:lang w:val="en-US" w:eastAsia="zh-CN" w:bidi="ar"/>
              </w:rPr>
              <w:t>地市级</w:t>
            </w:r>
          </w:p>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i w:val="0"/>
                <w:color w:val="000000"/>
                <w:kern w:val="0"/>
                <w:sz w:val="20"/>
                <w:szCs w:val="20"/>
                <w:u w:val="none"/>
                <w:lang w:val="en-US" w:eastAsia="zh-CN" w:bidi="ar"/>
              </w:rPr>
              <w:t>以下</w:t>
            </w:r>
          </w:p>
        </w:tc>
        <w:tc>
          <w:tcPr>
            <w:tcW w:w="5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cs="Times New Roman"/>
                <w:b/>
                <w:bCs/>
                <w:i w:val="0"/>
                <w:color w:val="000000"/>
                <w:kern w:val="0"/>
                <w:sz w:val="20"/>
                <w:szCs w:val="20"/>
                <w:u w:val="none"/>
                <w:lang w:eastAsia="zh-CN" w:bidi="ar"/>
              </w:rPr>
              <w:t>泽普县</w:t>
            </w:r>
            <w:r>
              <w:rPr>
                <w:rFonts w:hint="default" w:ascii="Times New Roman" w:hAnsi="Times New Roman" w:eastAsia="宋体" w:cs="Times New Roman"/>
                <w:b/>
                <w:bCs/>
                <w:i w:val="0"/>
                <w:color w:val="000000"/>
                <w:kern w:val="0"/>
                <w:sz w:val="20"/>
                <w:szCs w:val="20"/>
                <w:u w:val="none"/>
                <w:lang w:val="en-US" w:eastAsia="zh-CN" w:bidi="ar"/>
              </w:rPr>
              <w:t>本级</w:t>
            </w:r>
          </w:p>
        </w:tc>
        <w:tc>
          <w:tcPr>
            <w:tcW w:w="5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eastAsia="zh-CN" w:bidi="ar"/>
              </w:rPr>
            </w:pPr>
            <w:r>
              <w:rPr>
                <w:rFonts w:hint="default" w:ascii="Times New Roman" w:hAnsi="Times New Roman" w:eastAsia="宋体" w:cs="Times New Roman"/>
                <w:b/>
                <w:i w:val="0"/>
                <w:color w:val="000000"/>
                <w:kern w:val="0"/>
                <w:sz w:val="20"/>
                <w:szCs w:val="20"/>
                <w:u w:val="none"/>
                <w:lang w:val="en-US" w:eastAsia="zh-CN" w:bidi="ar"/>
              </w:rPr>
              <w:t>地市级</w:t>
            </w:r>
          </w:p>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i w:val="0"/>
                <w:color w:val="000000"/>
                <w:kern w:val="0"/>
                <w:sz w:val="20"/>
                <w:szCs w:val="20"/>
                <w:u w:val="none"/>
                <w:lang w:val="en-US" w:eastAsia="zh-CN" w:bidi="ar"/>
              </w:rPr>
              <w:t>以下</w:t>
            </w:r>
          </w:p>
        </w:tc>
        <w:tc>
          <w:tcPr>
            <w:tcW w:w="5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cs="Times New Roman"/>
                <w:b/>
                <w:bCs/>
                <w:i w:val="0"/>
                <w:color w:val="000000"/>
                <w:kern w:val="0"/>
                <w:sz w:val="20"/>
                <w:szCs w:val="20"/>
                <w:u w:val="none"/>
                <w:lang w:eastAsia="zh-CN" w:bidi="ar"/>
              </w:rPr>
              <w:t>泽普县</w:t>
            </w:r>
            <w:r>
              <w:rPr>
                <w:rFonts w:hint="default" w:ascii="Times New Roman" w:hAnsi="Times New Roman" w:eastAsia="宋体" w:cs="Times New Roman"/>
                <w:b/>
                <w:bCs/>
                <w:i w:val="0"/>
                <w:color w:val="000000"/>
                <w:kern w:val="0"/>
                <w:sz w:val="20"/>
                <w:szCs w:val="20"/>
                <w:u w:val="none"/>
                <w:lang w:val="en-US" w:eastAsia="zh-CN" w:bidi="ar"/>
              </w:rPr>
              <w:t>本级</w:t>
            </w:r>
          </w:p>
        </w:tc>
        <w:tc>
          <w:tcPr>
            <w:tcW w:w="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eastAsia="zh-CN" w:bidi="ar"/>
              </w:rPr>
            </w:pPr>
            <w:r>
              <w:rPr>
                <w:rFonts w:hint="default" w:ascii="Times New Roman" w:hAnsi="Times New Roman" w:eastAsia="宋体" w:cs="Times New Roman"/>
                <w:b/>
                <w:i w:val="0"/>
                <w:color w:val="000000"/>
                <w:kern w:val="0"/>
                <w:sz w:val="20"/>
                <w:szCs w:val="20"/>
                <w:u w:val="none"/>
                <w:lang w:val="en-US" w:eastAsia="zh-CN" w:bidi="ar"/>
              </w:rPr>
              <w:t>地市级</w:t>
            </w:r>
          </w:p>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i w:val="0"/>
                <w:color w:val="000000"/>
                <w:kern w:val="0"/>
                <w:sz w:val="20"/>
                <w:szCs w:val="20"/>
                <w:u w:val="none"/>
                <w:lang w:val="en-US" w:eastAsia="zh-CN" w:bidi="ar"/>
              </w:rPr>
              <w:t>以下</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cs="Times New Roman"/>
                <w:b/>
                <w:bCs/>
                <w:i w:val="0"/>
                <w:color w:val="000000"/>
                <w:kern w:val="0"/>
                <w:sz w:val="20"/>
                <w:szCs w:val="20"/>
                <w:u w:val="none"/>
                <w:lang w:eastAsia="zh-CN" w:bidi="ar"/>
              </w:rPr>
              <w:t>泽普县</w:t>
            </w:r>
            <w:r>
              <w:rPr>
                <w:rFonts w:hint="default" w:ascii="Times New Roman" w:hAnsi="Times New Roman" w:eastAsia="宋体" w:cs="Times New Roman"/>
                <w:b/>
                <w:bCs/>
                <w:i w:val="0"/>
                <w:color w:val="000000"/>
                <w:kern w:val="0"/>
                <w:sz w:val="20"/>
                <w:szCs w:val="20"/>
                <w:u w:val="none"/>
                <w:lang w:val="en-US" w:eastAsia="zh-CN" w:bidi="ar"/>
              </w:rPr>
              <w:t>本级</w:t>
            </w:r>
          </w:p>
        </w:tc>
        <w:tc>
          <w:tcPr>
            <w:tcW w:w="4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eastAsia="zh-CN" w:bidi="ar"/>
              </w:rPr>
            </w:pPr>
            <w:r>
              <w:rPr>
                <w:rFonts w:hint="default" w:ascii="Times New Roman" w:hAnsi="Times New Roman" w:eastAsia="宋体" w:cs="Times New Roman"/>
                <w:b/>
                <w:i w:val="0"/>
                <w:color w:val="000000"/>
                <w:kern w:val="0"/>
                <w:sz w:val="20"/>
                <w:szCs w:val="20"/>
                <w:u w:val="none"/>
                <w:lang w:val="en-US" w:eastAsia="zh-CN" w:bidi="ar"/>
              </w:rPr>
              <w:t>地市级</w:t>
            </w:r>
          </w:p>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i w:val="0"/>
                <w:color w:val="000000"/>
                <w:kern w:val="0"/>
                <w:sz w:val="20"/>
                <w:szCs w:val="20"/>
                <w:u w:val="none"/>
                <w:lang w:val="en-US" w:eastAsia="zh-CN" w:bidi="ar"/>
              </w:rPr>
              <w:t>以下</w:t>
            </w:r>
          </w:p>
        </w:tc>
        <w:tc>
          <w:tcPr>
            <w:tcW w:w="4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cs="Times New Roman"/>
                <w:b/>
                <w:bCs/>
                <w:i w:val="0"/>
                <w:color w:val="000000"/>
                <w:kern w:val="0"/>
                <w:sz w:val="20"/>
                <w:szCs w:val="20"/>
                <w:u w:val="none"/>
                <w:lang w:eastAsia="zh-CN" w:bidi="ar"/>
              </w:rPr>
              <w:t>泽普县</w:t>
            </w:r>
            <w:r>
              <w:rPr>
                <w:rFonts w:hint="default" w:ascii="Times New Roman" w:hAnsi="Times New Roman" w:eastAsia="宋体" w:cs="Times New Roman"/>
                <w:b/>
                <w:bCs/>
                <w:i w:val="0"/>
                <w:color w:val="000000"/>
                <w:kern w:val="0"/>
                <w:sz w:val="20"/>
                <w:szCs w:val="20"/>
                <w:u w:val="none"/>
                <w:lang w:val="en-US" w:eastAsia="zh-CN" w:bidi="ar"/>
              </w:rPr>
              <w:t>本级</w:t>
            </w:r>
          </w:p>
        </w:tc>
        <w:tc>
          <w:tcPr>
            <w:tcW w:w="4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eastAsia="zh-CN" w:bidi="ar"/>
              </w:rPr>
            </w:pPr>
            <w:r>
              <w:rPr>
                <w:rFonts w:hint="default" w:ascii="Times New Roman" w:hAnsi="Times New Roman" w:eastAsia="宋体" w:cs="Times New Roman"/>
                <w:b/>
                <w:i w:val="0"/>
                <w:color w:val="000000"/>
                <w:kern w:val="0"/>
                <w:sz w:val="20"/>
                <w:szCs w:val="20"/>
                <w:u w:val="none"/>
                <w:lang w:val="en-US" w:eastAsia="zh-CN" w:bidi="ar"/>
              </w:rPr>
              <w:t>地市级</w:t>
            </w:r>
          </w:p>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i w:val="0"/>
                <w:color w:val="000000"/>
                <w:kern w:val="0"/>
                <w:sz w:val="20"/>
                <w:szCs w:val="20"/>
                <w:u w:val="none"/>
                <w:lang w:val="en-US" w:eastAsia="zh-CN" w:bidi="ar"/>
              </w:rPr>
              <w:t>以下</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cs="Times New Roman"/>
                <w:b/>
                <w:bCs/>
                <w:i w:val="0"/>
                <w:color w:val="000000"/>
                <w:kern w:val="0"/>
                <w:sz w:val="20"/>
                <w:szCs w:val="20"/>
                <w:u w:val="none"/>
                <w:lang w:eastAsia="zh-CN" w:bidi="ar"/>
              </w:rPr>
              <w:t>泽普县</w:t>
            </w:r>
            <w:r>
              <w:rPr>
                <w:rFonts w:hint="default" w:ascii="Times New Roman" w:hAnsi="Times New Roman" w:eastAsia="宋体" w:cs="Times New Roman"/>
                <w:b/>
                <w:bCs/>
                <w:i w:val="0"/>
                <w:color w:val="000000"/>
                <w:kern w:val="0"/>
                <w:sz w:val="20"/>
                <w:szCs w:val="20"/>
                <w:u w:val="none"/>
                <w:lang w:val="en-US" w:eastAsia="zh-CN" w:bidi="ar"/>
              </w:rPr>
              <w:t>本级</w:t>
            </w:r>
          </w:p>
        </w:tc>
        <w:tc>
          <w:tcPr>
            <w:tcW w:w="5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eastAsia="zh-CN" w:bidi="ar"/>
              </w:rPr>
            </w:pPr>
            <w:r>
              <w:rPr>
                <w:rFonts w:hint="default" w:ascii="Times New Roman" w:hAnsi="Times New Roman" w:eastAsia="宋体" w:cs="Times New Roman"/>
                <w:b/>
                <w:i w:val="0"/>
                <w:color w:val="000000"/>
                <w:kern w:val="0"/>
                <w:sz w:val="20"/>
                <w:szCs w:val="20"/>
                <w:u w:val="none"/>
                <w:lang w:val="en-US" w:eastAsia="zh-CN" w:bidi="ar"/>
              </w:rPr>
              <w:t>地市级</w:t>
            </w:r>
          </w:p>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i w:val="0"/>
                <w:color w:val="000000"/>
                <w:kern w:val="0"/>
                <w:sz w:val="20"/>
                <w:szCs w:val="20"/>
                <w:u w:val="none"/>
                <w:lang w:val="en-US" w:eastAsia="zh-CN" w:bidi="ar"/>
              </w:rPr>
              <w:t>以下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8" w:hRule="atLeast"/>
          <w:jc w:val="center"/>
        </w:trPr>
        <w:tc>
          <w:tcPr>
            <w:tcW w:w="9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223</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国有资本经营预算支出 </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5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3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71"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1"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5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4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8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2" w:hRule="atLeast"/>
          <w:jc w:val="center"/>
        </w:trPr>
        <w:tc>
          <w:tcPr>
            <w:tcW w:w="9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22301</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解决历史遗留问题及改革成本支出</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58"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8"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3"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37"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3"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71"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1"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4"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7"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46"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6"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57"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4"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47"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21"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82"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08" w:hRule="atLeast"/>
          <w:jc w:val="center"/>
        </w:trPr>
        <w:tc>
          <w:tcPr>
            <w:tcW w:w="9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2230105</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国有企业退休人员社会化管理补助支出</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r>
              <w:rPr>
                <w:rFonts w:hint="default" w:ascii="Times New Roman" w:hAnsi="Times New Roman" w:cs="Times New Roman"/>
                <w:i w:val="0"/>
                <w:color w:val="000000"/>
                <w:kern w:val="2"/>
                <w:sz w:val="20"/>
                <w:szCs w:val="20"/>
                <w:u w:val="none"/>
                <w:lang w:val="en-US" w:eastAsia="zh-CN" w:bidi="ar-SA"/>
              </w:rPr>
              <w:t>5</w:t>
            </w:r>
          </w:p>
        </w:tc>
        <w:tc>
          <w:tcPr>
            <w:tcW w:w="55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r>
              <w:rPr>
                <w:rFonts w:hint="default" w:ascii="Times New Roman" w:hAnsi="Times New Roman" w:cs="Times New Roman"/>
                <w:i w:val="0"/>
                <w:color w:val="000000"/>
                <w:kern w:val="2"/>
                <w:sz w:val="20"/>
                <w:szCs w:val="20"/>
                <w:u w:val="none"/>
                <w:lang w:val="en-US" w:eastAsia="zh-CN" w:bidi="ar-SA"/>
              </w:rPr>
              <w:t>5</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0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0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r>
              <w:rPr>
                <w:rFonts w:hint="default" w:ascii="Times New Roman" w:hAnsi="Times New Roman" w:cs="Times New Roman"/>
                <w:i w:val="0"/>
                <w:color w:val="000000"/>
                <w:kern w:val="2"/>
                <w:sz w:val="20"/>
                <w:szCs w:val="20"/>
                <w:u w:val="none"/>
                <w:lang w:val="en-US" w:eastAsia="zh-CN" w:bidi="ar-SA"/>
              </w:rPr>
              <w:t>5</w:t>
            </w:r>
          </w:p>
        </w:tc>
        <w:tc>
          <w:tcPr>
            <w:tcW w:w="4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0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0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0"/>
                <w:szCs w:val="20"/>
                <w:u w:val="none"/>
                <w:lang w:val="en-US" w:eastAsia="zh-CN" w:bidi="ar-SA"/>
              </w:rPr>
            </w:pPr>
            <w:r>
              <w:rPr>
                <w:rFonts w:hint="default" w:ascii="Times New Roman" w:hAnsi="Times New Roman" w:eastAsia="等线" w:cs="Times New Roman"/>
                <w:i w:val="0"/>
                <w:color w:val="000000"/>
                <w:kern w:val="0"/>
                <w:sz w:val="22"/>
                <w:szCs w:val="22"/>
                <w:u w:val="none"/>
                <w:lang w:val="en-US" w:eastAsia="zh-CN" w:bidi="ar"/>
              </w:rPr>
              <w:t>5</w:t>
            </w:r>
          </w:p>
        </w:tc>
        <w:tc>
          <w:tcPr>
            <w:tcW w:w="5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0"/>
                <w:szCs w:val="20"/>
                <w:u w:val="none"/>
                <w:lang w:val="en-US" w:eastAsia="zh-CN" w:bidi="ar-SA"/>
              </w:rPr>
            </w:pPr>
          </w:p>
        </w:tc>
        <w:tc>
          <w:tcPr>
            <w:tcW w:w="4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r>
              <w:rPr>
                <w:rFonts w:hint="default" w:ascii="Times New Roman" w:hAnsi="Times New Roman" w:cs="Times New Roman"/>
                <w:i w:val="0"/>
                <w:color w:val="000000"/>
                <w:kern w:val="2"/>
                <w:sz w:val="20"/>
                <w:szCs w:val="20"/>
                <w:u w:val="none"/>
                <w:lang w:val="en-US" w:eastAsia="zh-CN" w:bidi="ar-SA"/>
              </w:rPr>
              <w:t>5</w:t>
            </w:r>
          </w:p>
        </w:tc>
        <w:tc>
          <w:tcPr>
            <w:tcW w:w="44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8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08" w:hRule="atLeast"/>
          <w:jc w:val="center"/>
        </w:trPr>
        <w:tc>
          <w:tcPr>
            <w:tcW w:w="9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2230106</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国有企业棚户区改造支出</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5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3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71"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1"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5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4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8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8" w:hRule="atLeast"/>
          <w:jc w:val="center"/>
        </w:trPr>
        <w:tc>
          <w:tcPr>
            <w:tcW w:w="9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22302</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国有企业资本金注入</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5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3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71"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1"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4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5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4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8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08" w:hRule="atLeast"/>
          <w:jc w:val="center"/>
        </w:trPr>
        <w:tc>
          <w:tcPr>
            <w:tcW w:w="9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2230208</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金融企业资本性支出</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58"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8"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3"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37"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3"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71"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1"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4"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7"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46"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6"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57"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4"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47"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21"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82"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08" w:hRule="atLeast"/>
          <w:jc w:val="center"/>
        </w:trPr>
        <w:tc>
          <w:tcPr>
            <w:tcW w:w="9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2230299</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其他国有企业资本金注入</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kern w:val="2"/>
                <w:sz w:val="20"/>
                <w:szCs w:val="20"/>
                <w:u w:val="none"/>
                <w:lang w:val="en-US" w:eastAsia="zh-CN" w:bidi="ar-SA"/>
              </w:rPr>
            </w:pPr>
            <w:r>
              <w:rPr>
                <w:rFonts w:hint="default" w:ascii="Times New Roman" w:hAnsi="Times New Roman" w:eastAsia="等线" w:cs="Times New Roman"/>
                <w:i w:val="0"/>
                <w:color w:val="000000"/>
                <w:kern w:val="0"/>
                <w:sz w:val="22"/>
                <w:szCs w:val="22"/>
                <w:u w:val="none"/>
                <w:lang w:val="en-US" w:eastAsia="zh-CN" w:bidi="ar"/>
              </w:rPr>
              <w:t xml:space="preserve"> </w:t>
            </w:r>
          </w:p>
        </w:tc>
        <w:tc>
          <w:tcPr>
            <w:tcW w:w="5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kern w:val="2"/>
                <w:sz w:val="20"/>
                <w:szCs w:val="20"/>
                <w:u w:val="none"/>
                <w:lang w:val="en-US" w:eastAsia="zh-CN" w:bidi="ar-SA"/>
              </w:rPr>
            </w:pPr>
            <w:r>
              <w:rPr>
                <w:rFonts w:hint="default" w:ascii="Times New Roman" w:hAnsi="Times New Roman" w:eastAsia="等线" w:cs="Times New Roman"/>
                <w:i w:val="0"/>
                <w:color w:val="000000"/>
                <w:kern w:val="0"/>
                <w:sz w:val="22"/>
                <w:szCs w:val="22"/>
                <w:u w:val="none"/>
                <w:lang w:val="en-US" w:eastAsia="zh-CN" w:bidi="ar"/>
              </w:rPr>
              <w:t xml:space="preserve"> </w:t>
            </w:r>
          </w:p>
        </w:tc>
        <w:tc>
          <w:tcPr>
            <w:tcW w:w="48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3" w:type="dxa"/>
            <w:tcBorders>
              <w:top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kern w:val="2"/>
                <w:sz w:val="20"/>
                <w:szCs w:val="20"/>
                <w:u w:val="none"/>
                <w:lang w:val="en-US" w:eastAsia="zh-CN" w:bidi="ar-SA"/>
              </w:rPr>
            </w:pPr>
            <w:r>
              <w:rPr>
                <w:rFonts w:hint="default" w:ascii="Times New Roman" w:hAnsi="Times New Roman" w:eastAsia="等线" w:cs="Times New Roman"/>
                <w:i w:val="0"/>
                <w:color w:val="000000"/>
                <w:kern w:val="0"/>
                <w:sz w:val="22"/>
                <w:szCs w:val="22"/>
                <w:u w:val="none"/>
                <w:lang w:val="en-US" w:eastAsia="zh-CN" w:bidi="ar"/>
              </w:rPr>
              <w:t xml:space="preserve"> </w:t>
            </w:r>
          </w:p>
        </w:tc>
        <w:tc>
          <w:tcPr>
            <w:tcW w:w="437"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3"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71"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1"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4"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7" w:type="dxa"/>
            <w:tcBorders>
              <w:top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r>
              <w:rPr>
                <w:rFonts w:hint="default" w:ascii="Times New Roman" w:hAnsi="Times New Roman" w:cs="Times New Roman"/>
                <w:i w:val="0"/>
                <w:color w:val="000000"/>
                <w:kern w:val="2"/>
                <w:sz w:val="20"/>
                <w:szCs w:val="20"/>
                <w:u w:val="none"/>
                <w:lang w:val="en-US" w:eastAsia="zh-CN" w:bidi="ar-SA"/>
              </w:rPr>
              <w:t>500</w:t>
            </w:r>
          </w:p>
        </w:tc>
        <w:tc>
          <w:tcPr>
            <w:tcW w:w="546" w:type="dxa"/>
            <w:tcBorders>
              <w:top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86" w:type="dxa"/>
            <w:tcBorders>
              <w:top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r>
              <w:rPr>
                <w:rFonts w:hint="default" w:ascii="Times New Roman" w:hAnsi="Times New Roman" w:cs="Times New Roman"/>
                <w:i w:val="0"/>
                <w:color w:val="000000"/>
                <w:kern w:val="2"/>
                <w:sz w:val="20"/>
                <w:szCs w:val="20"/>
                <w:u w:val="none"/>
                <w:lang w:val="en-US" w:eastAsia="zh-CN" w:bidi="ar-SA"/>
              </w:rPr>
              <w:t>500</w:t>
            </w:r>
          </w:p>
        </w:tc>
        <w:tc>
          <w:tcPr>
            <w:tcW w:w="457" w:type="dxa"/>
            <w:tcBorders>
              <w:top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64"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47"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21"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82"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8" w:hRule="atLeast"/>
          <w:jc w:val="center"/>
        </w:trPr>
        <w:tc>
          <w:tcPr>
            <w:tcW w:w="9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22303</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国有企业政策性补贴</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58"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8"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3"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37"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3"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71"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1"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4"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7"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46"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6"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57"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4"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47"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21"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82"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08" w:hRule="atLeast"/>
          <w:jc w:val="center"/>
        </w:trPr>
        <w:tc>
          <w:tcPr>
            <w:tcW w:w="9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2230301</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国有企业政策性补贴</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5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3"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37"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3"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71"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1"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4"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7"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46"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6"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57"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4"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47"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21"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82"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8" w:hRule="atLeast"/>
          <w:jc w:val="center"/>
        </w:trPr>
        <w:tc>
          <w:tcPr>
            <w:tcW w:w="9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22399</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其他国有资本经营预算支出</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r>
              <w:rPr>
                <w:rFonts w:hint="default" w:ascii="Times New Roman" w:hAnsi="Times New Roman" w:cs="Times New Roman"/>
                <w:i w:val="0"/>
                <w:color w:val="000000"/>
                <w:kern w:val="2"/>
                <w:sz w:val="20"/>
                <w:szCs w:val="20"/>
                <w:u w:val="none"/>
                <w:lang w:val="en-US" w:eastAsia="zh-CN" w:bidi="ar-SA"/>
              </w:rPr>
              <w:t>10</w:t>
            </w:r>
          </w:p>
        </w:tc>
        <w:tc>
          <w:tcPr>
            <w:tcW w:w="558" w:type="dxa"/>
            <w:tcBorders>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r>
              <w:rPr>
                <w:rFonts w:hint="default" w:ascii="Times New Roman" w:hAnsi="Times New Roman" w:cs="Times New Roman"/>
                <w:i w:val="0"/>
                <w:color w:val="000000"/>
                <w:kern w:val="2"/>
                <w:sz w:val="20"/>
                <w:szCs w:val="20"/>
                <w:u w:val="none"/>
                <w:lang w:val="en-US" w:eastAsia="zh-CN" w:bidi="ar-SA"/>
              </w:rPr>
              <w:t>10</w:t>
            </w:r>
          </w:p>
        </w:tc>
        <w:tc>
          <w:tcPr>
            <w:tcW w:w="488"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3"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37"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3"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71"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1"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4"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7"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46"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6"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57"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4"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47"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21"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82"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08" w:hRule="atLeast"/>
          <w:jc w:val="center"/>
        </w:trPr>
        <w:tc>
          <w:tcPr>
            <w:tcW w:w="9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2239999</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其他国有资本经营预算支出</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5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3"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37"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3"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71"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1"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4"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7"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46"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6"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57"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4"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47"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21"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82"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76" w:hRule="atLeast"/>
          <w:jc w:val="center"/>
        </w:trPr>
        <w:tc>
          <w:tcPr>
            <w:tcW w:w="920"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2300803</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cs="Times New Roman"/>
                <w:i w:val="0"/>
                <w:color w:val="000000"/>
                <w:kern w:val="0"/>
                <w:sz w:val="20"/>
                <w:szCs w:val="20"/>
                <w:u w:val="none"/>
                <w:lang w:val="en-US" w:eastAsia="zh-CN" w:bidi="ar"/>
              </w:rPr>
              <w:t>国有资本经营预算调入资金</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r>
              <w:rPr>
                <w:rFonts w:hint="default" w:ascii="Times New Roman" w:hAnsi="Times New Roman" w:cs="Times New Roman"/>
                <w:i w:val="0"/>
                <w:color w:val="000000"/>
                <w:kern w:val="2"/>
                <w:sz w:val="20"/>
                <w:szCs w:val="20"/>
                <w:u w:val="none"/>
                <w:lang w:val="en-US" w:eastAsia="zh-CN" w:bidi="ar-SA"/>
              </w:rPr>
              <w:t>887</w:t>
            </w:r>
          </w:p>
        </w:tc>
        <w:tc>
          <w:tcPr>
            <w:tcW w:w="55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8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0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cs="Times New Roman"/>
                <w:i w:val="0"/>
                <w:color w:val="000000"/>
                <w:sz w:val="20"/>
                <w:szCs w:val="20"/>
                <w:u w:val="none"/>
                <w:lang w:val="en-US" w:eastAsia="zh-CN"/>
              </w:rPr>
            </w:pPr>
          </w:p>
        </w:tc>
        <w:tc>
          <w:tcPr>
            <w:tcW w:w="4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0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0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0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0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cs="Times New Roman"/>
                <w:i w:val="0"/>
                <w:color w:val="000000"/>
                <w:kern w:val="2"/>
                <w:sz w:val="20"/>
                <w:szCs w:val="20"/>
                <w:u w:val="none"/>
                <w:lang w:val="en-US" w:eastAsia="zh-CN" w:bidi="ar-SA"/>
              </w:rPr>
            </w:pPr>
            <w:r>
              <w:rPr>
                <w:rFonts w:hint="default" w:ascii="Times New Roman" w:hAnsi="Times New Roman" w:cs="Times New Roman"/>
                <w:i w:val="0"/>
                <w:color w:val="000000"/>
                <w:kern w:val="2"/>
                <w:sz w:val="20"/>
                <w:szCs w:val="20"/>
                <w:u w:val="none"/>
                <w:lang w:val="en-US" w:eastAsia="zh-CN" w:bidi="ar-SA"/>
              </w:rPr>
              <w:t>513</w:t>
            </w:r>
          </w:p>
        </w:tc>
        <w:tc>
          <w:tcPr>
            <w:tcW w:w="5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cs="Times New Roman"/>
                <w:i w:val="0"/>
                <w:color w:val="000000"/>
                <w:kern w:val="2"/>
                <w:sz w:val="20"/>
                <w:szCs w:val="20"/>
                <w:u w:val="none"/>
                <w:lang w:val="en-US" w:eastAsia="zh-CN" w:bidi="ar-SA"/>
              </w:rPr>
            </w:pPr>
          </w:p>
        </w:tc>
        <w:tc>
          <w:tcPr>
            <w:tcW w:w="45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4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8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56" w:hRule="atLeast"/>
          <w:jc w:val="center"/>
        </w:trPr>
        <w:tc>
          <w:tcPr>
            <w:tcW w:w="9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val="en-US" w:eastAsia="zh-CN" w:bidi="ar"/>
              </w:rPr>
            </w:pPr>
            <w:r>
              <w:rPr>
                <w:rFonts w:hint="default" w:ascii="Times New Roman" w:hAnsi="Times New Roman" w:eastAsia="宋体" w:cs="Times New Roman"/>
                <w:b/>
                <w:i w:val="0"/>
                <w:color w:val="000000"/>
                <w:kern w:val="0"/>
                <w:sz w:val="20"/>
                <w:szCs w:val="20"/>
                <w:u w:val="none"/>
                <w:lang w:val="en-US" w:eastAsia="zh-CN" w:bidi="ar"/>
              </w:rPr>
              <w:t>支出合计</w:t>
            </w:r>
          </w:p>
        </w:tc>
        <w:tc>
          <w:tcPr>
            <w:tcW w:w="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val="en-US" w:eastAsia="zh-CN" w:bidi="ar"/>
              </w:rPr>
            </w:pPr>
          </w:p>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val="en-US" w:eastAsia="zh-CN" w:bidi="ar"/>
              </w:rPr>
            </w:pPr>
            <w:r>
              <w:rPr>
                <w:rFonts w:hint="default" w:ascii="Times New Roman" w:hAnsi="Times New Roman" w:eastAsia="宋体" w:cs="Times New Roman"/>
                <w:b/>
                <w:i w:val="0"/>
                <w:color w:val="000000"/>
                <w:kern w:val="0"/>
                <w:sz w:val="20"/>
                <w:szCs w:val="20"/>
                <w:u w:val="none"/>
                <w:lang w:val="en-US" w:eastAsia="zh-CN" w:bidi="ar"/>
              </w:rPr>
              <w:t>902</w:t>
            </w:r>
          </w:p>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val="en-US" w:eastAsia="zh-CN" w:bidi="ar"/>
              </w:rPr>
            </w:pPr>
          </w:p>
        </w:tc>
        <w:tc>
          <w:tcPr>
            <w:tcW w:w="5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val="en-US" w:eastAsia="zh-CN" w:bidi="ar"/>
              </w:rPr>
            </w:pPr>
          </w:p>
        </w:tc>
        <w:tc>
          <w:tcPr>
            <w:tcW w:w="4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val="en-US" w:eastAsia="zh-CN" w:bidi="ar"/>
              </w:rPr>
            </w:pPr>
          </w:p>
        </w:tc>
        <w:tc>
          <w:tcPr>
            <w:tcW w:w="5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val="en-US" w:eastAsia="zh-CN" w:bidi="ar"/>
              </w:rPr>
            </w:pPr>
          </w:p>
        </w:tc>
        <w:tc>
          <w:tcPr>
            <w:tcW w:w="4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val="en-US" w:eastAsia="zh-CN" w:bidi="ar"/>
              </w:rPr>
            </w:pPr>
          </w:p>
        </w:tc>
        <w:tc>
          <w:tcPr>
            <w:tcW w:w="5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val="en-US" w:eastAsia="zh-CN" w:bidi="ar"/>
              </w:rPr>
            </w:pPr>
          </w:p>
        </w:tc>
        <w:tc>
          <w:tcPr>
            <w:tcW w:w="4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val="en-US" w:eastAsia="zh-CN" w:bidi="ar"/>
              </w:rPr>
            </w:pPr>
          </w:p>
        </w:tc>
        <w:tc>
          <w:tcPr>
            <w:tcW w:w="5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val="en-US" w:eastAsia="zh-CN" w:bidi="ar"/>
              </w:rPr>
            </w:pPr>
          </w:p>
        </w:tc>
        <w:tc>
          <w:tcPr>
            <w:tcW w:w="5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val="en-US" w:eastAsia="zh-CN" w:bidi="ar"/>
              </w:rPr>
            </w:pPr>
          </w:p>
        </w:tc>
        <w:tc>
          <w:tcPr>
            <w:tcW w:w="5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val="en-US" w:eastAsia="zh-CN" w:bidi="ar"/>
              </w:rPr>
            </w:pPr>
            <w:r>
              <w:rPr>
                <w:rFonts w:hint="default" w:ascii="Times New Roman" w:hAnsi="Times New Roman" w:eastAsia="宋体" w:cs="Times New Roman"/>
                <w:b/>
                <w:i w:val="0"/>
                <w:color w:val="000000"/>
                <w:kern w:val="0"/>
                <w:sz w:val="20"/>
                <w:szCs w:val="20"/>
                <w:u w:val="none"/>
                <w:lang w:val="en-US" w:eastAsia="zh-CN" w:bidi="ar"/>
              </w:rPr>
              <w:t>1018</w:t>
            </w:r>
          </w:p>
        </w:tc>
        <w:tc>
          <w:tcPr>
            <w:tcW w:w="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val="en-US" w:eastAsia="zh-CN" w:bidi="ar"/>
              </w:rPr>
            </w:pP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val="en-US" w:eastAsia="zh-CN" w:bidi="ar"/>
              </w:rPr>
            </w:pPr>
            <w:r>
              <w:rPr>
                <w:rFonts w:hint="default" w:ascii="Times New Roman" w:hAnsi="Times New Roman" w:eastAsia="宋体" w:cs="Times New Roman"/>
                <w:b/>
                <w:i w:val="0"/>
                <w:color w:val="000000"/>
                <w:kern w:val="0"/>
                <w:sz w:val="20"/>
                <w:szCs w:val="20"/>
                <w:u w:val="none"/>
                <w:lang w:val="en-US" w:eastAsia="zh-CN" w:bidi="ar"/>
              </w:rPr>
              <w:t>1018</w:t>
            </w:r>
          </w:p>
        </w:tc>
        <w:tc>
          <w:tcPr>
            <w:tcW w:w="4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val="en-US" w:eastAsia="zh-CN" w:bidi="ar"/>
              </w:rPr>
            </w:pPr>
          </w:p>
        </w:tc>
        <w:tc>
          <w:tcPr>
            <w:tcW w:w="4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val="en-US" w:eastAsia="zh-CN" w:bidi="ar"/>
              </w:rPr>
            </w:pPr>
          </w:p>
        </w:tc>
        <w:tc>
          <w:tcPr>
            <w:tcW w:w="4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val="en-US" w:eastAsia="zh-CN" w:bidi="ar"/>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val="en-US" w:eastAsia="zh-CN" w:bidi="ar"/>
              </w:rPr>
            </w:pPr>
          </w:p>
        </w:tc>
        <w:tc>
          <w:tcPr>
            <w:tcW w:w="5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val="en-US" w:eastAsia="zh-CN" w:bidi="ar"/>
              </w:rPr>
            </w:pPr>
          </w:p>
        </w:tc>
      </w:tr>
    </w:tbl>
    <w:tbl>
      <w:tblPr>
        <w:tblStyle w:val="8"/>
        <w:tblW w:w="889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430"/>
        <w:gridCol w:w="777"/>
        <w:gridCol w:w="263"/>
        <w:gridCol w:w="1000"/>
        <w:gridCol w:w="1140"/>
        <w:gridCol w:w="1080"/>
        <w:gridCol w:w="112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8890" w:type="dxa"/>
            <w:gridSpan w:val="8"/>
            <w:noWrap w:val="0"/>
            <w:vAlign w:val="center"/>
          </w:tcPr>
          <w:p>
            <w:pPr>
              <w:keepNext w:val="0"/>
              <w:keepLines w:val="0"/>
              <w:widowControl/>
              <w:suppressLineNumbers w:val="0"/>
              <w:tabs>
                <w:tab w:val="left" w:pos="613"/>
              </w:tabs>
              <w:jc w:val="left"/>
              <w:textAlignment w:val="center"/>
              <w:rPr>
                <w:rFonts w:hint="default" w:ascii="Times New Roman" w:hAnsi="Times New Roman" w:eastAsia="宋体" w:cs="Times New Roman"/>
                <w:b/>
                <w:bCs/>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表20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8890" w:type="dxa"/>
            <w:gridSpan w:val="8"/>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202</w:t>
            </w:r>
            <w:r>
              <w:rPr>
                <w:rFonts w:hint="default" w:ascii="Times New Roman" w:hAnsi="Times New Roman" w:cs="Times New Roman"/>
                <w:b/>
                <w:bCs/>
                <w:i w:val="0"/>
                <w:color w:val="000000"/>
                <w:kern w:val="0"/>
                <w:sz w:val="20"/>
                <w:szCs w:val="20"/>
                <w:u w:val="none"/>
                <w:lang w:val="en-US" w:eastAsia="zh-CN" w:bidi="ar"/>
              </w:rPr>
              <w:t>5</w:t>
            </w:r>
            <w:r>
              <w:rPr>
                <w:rFonts w:hint="default" w:ascii="Times New Roman" w:hAnsi="Times New Roman" w:eastAsia="宋体" w:cs="Times New Roman"/>
                <w:b/>
                <w:bCs/>
                <w:i w:val="0"/>
                <w:color w:val="000000"/>
                <w:kern w:val="0"/>
                <w:sz w:val="20"/>
                <w:szCs w:val="20"/>
                <w:u w:val="none"/>
                <w:lang w:val="en-US" w:eastAsia="zh-CN" w:bidi="ar"/>
              </w:rPr>
              <w:t>年</w:t>
            </w:r>
            <w:r>
              <w:rPr>
                <w:rFonts w:hint="default" w:ascii="Times New Roman" w:hAnsi="Times New Roman" w:cs="Times New Roman"/>
                <w:b/>
                <w:bCs/>
                <w:i w:val="0"/>
                <w:color w:val="000000"/>
                <w:kern w:val="0"/>
                <w:sz w:val="20"/>
                <w:szCs w:val="20"/>
                <w:u w:val="none"/>
                <w:lang w:val="en-US" w:eastAsia="zh-CN" w:bidi="ar"/>
              </w:rPr>
              <w:t>泽普县</w:t>
            </w:r>
            <w:r>
              <w:rPr>
                <w:rFonts w:hint="default" w:ascii="Times New Roman" w:hAnsi="Times New Roman" w:eastAsia="宋体" w:cs="Times New Roman"/>
                <w:b/>
                <w:bCs/>
                <w:i w:val="0"/>
                <w:color w:val="000000"/>
                <w:kern w:val="0"/>
                <w:sz w:val="20"/>
                <w:szCs w:val="20"/>
                <w:u w:val="none"/>
                <w:lang w:val="en-US" w:eastAsia="zh-CN" w:bidi="ar"/>
              </w:rPr>
              <w:t>国有资本经营预算对下转移支付安排情况表（分地区、项目）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jc w:val="center"/>
        </w:trPr>
        <w:tc>
          <w:tcPr>
            <w:tcW w:w="2430" w:type="dxa"/>
            <w:noWrap w:val="0"/>
            <w:vAlign w:val="center"/>
          </w:tcPr>
          <w:p>
            <w:pPr>
              <w:jc w:val="center"/>
              <w:rPr>
                <w:rFonts w:hint="default" w:ascii="Times New Roman" w:hAnsi="Times New Roman" w:eastAsia="宋体" w:cs="Times New Roman"/>
                <w:i w:val="0"/>
                <w:color w:val="000000"/>
                <w:sz w:val="20"/>
                <w:szCs w:val="20"/>
                <w:u w:val="none"/>
              </w:rPr>
            </w:pPr>
          </w:p>
        </w:tc>
        <w:tc>
          <w:tcPr>
            <w:tcW w:w="777" w:type="dxa"/>
            <w:noWrap w:val="0"/>
            <w:vAlign w:val="center"/>
          </w:tcPr>
          <w:p>
            <w:pPr>
              <w:jc w:val="center"/>
              <w:rPr>
                <w:rFonts w:hint="default" w:ascii="Times New Roman" w:hAnsi="Times New Roman" w:eastAsia="宋体" w:cs="Times New Roman"/>
                <w:i w:val="0"/>
                <w:color w:val="000000"/>
                <w:sz w:val="20"/>
                <w:szCs w:val="20"/>
                <w:u w:val="none"/>
              </w:rPr>
            </w:pPr>
          </w:p>
        </w:tc>
        <w:tc>
          <w:tcPr>
            <w:tcW w:w="263" w:type="dxa"/>
            <w:noWrap w:val="0"/>
            <w:vAlign w:val="center"/>
          </w:tcPr>
          <w:p>
            <w:pPr>
              <w:jc w:val="center"/>
              <w:rPr>
                <w:rFonts w:hint="default" w:ascii="Times New Roman" w:hAnsi="Times New Roman" w:eastAsia="宋体" w:cs="Times New Roman"/>
                <w:i w:val="0"/>
                <w:color w:val="000000"/>
                <w:sz w:val="20"/>
                <w:szCs w:val="20"/>
                <w:u w:val="none"/>
              </w:rPr>
            </w:pPr>
          </w:p>
        </w:tc>
        <w:tc>
          <w:tcPr>
            <w:tcW w:w="1000" w:type="dxa"/>
            <w:noWrap w:val="0"/>
            <w:vAlign w:val="center"/>
          </w:tcPr>
          <w:p>
            <w:pPr>
              <w:jc w:val="center"/>
              <w:rPr>
                <w:rFonts w:hint="default" w:ascii="Times New Roman" w:hAnsi="Times New Roman" w:eastAsia="宋体" w:cs="Times New Roman"/>
                <w:i w:val="0"/>
                <w:color w:val="000000"/>
                <w:sz w:val="20"/>
                <w:szCs w:val="20"/>
                <w:u w:val="none"/>
              </w:rPr>
            </w:pPr>
          </w:p>
        </w:tc>
        <w:tc>
          <w:tcPr>
            <w:tcW w:w="1140" w:type="dxa"/>
            <w:noWrap w:val="0"/>
            <w:vAlign w:val="center"/>
          </w:tcPr>
          <w:p>
            <w:pPr>
              <w:rPr>
                <w:rFonts w:hint="default" w:ascii="Times New Roman" w:hAnsi="Times New Roman" w:eastAsia="宋体" w:cs="Times New Roman"/>
                <w:i w:val="0"/>
                <w:color w:val="000000"/>
                <w:sz w:val="24"/>
                <w:szCs w:val="24"/>
                <w:u w:val="none"/>
              </w:rPr>
            </w:pPr>
          </w:p>
        </w:tc>
        <w:tc>
          <w:tcPr>
            <w:tcW w:w="1080" w:type="dxa"/>
            <w:noWrap w:val="0"/>
            <w:vAlign w:val="center"/>
          </w:tcPr>
          <w:p>
            <w:pPr>
              <w:rPr>
                <w:rFonts w:hint="default" w:ascii="Times New Roman" w:hAnsi="Times New Roman" w:eastAsia="宋体" w:cs="Times New Roman"/>
                <w:i w:val="0"/>
                <w:color w:val="000000"/>
                <w:sz w:val="24"/>
                <w:szCs w:val="24"/>
                <w:u w:val="none"/>
              </w:rPr>
            </w:pPr>
          </w:p>
        </w:tc>
        <w:tc>
          <w:tcPr>
            <w:tcW w:w="2200" w:type="dxa"/>
            <w:gridSpan w:val="2"/>
            <w:tcBorders>
              <w:bottom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71" w:hRule="atLeast"/>
          <w:jc w:val="center"/>
        </w:trPr>
        <w:tc>
          <w:tcPr>
            <w:tcW w:w="2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项目名称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合计</w:t>
            </w:r>
          </w:p>
        </w:tc>
        <w:tc>
          <w:tcPr>
            <w:tcW w:w="12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cs="Times New Roman"/>
                <w:b/>
                <w:bCs/>
                <w:i w:val="0"/>
                <w:color w:val="000000"/>
                <w:kern w:val="0"/>
                <w:sz w:val="20"/>
                <w:szCs w:val="20"/>
                <w:u w:val="none"/>
                <w:lang w:val="en-US" w:eastAsia="zh-CN" w:bidi="ar"/>
              </w:rPr>
              <w:t>泽普县</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县、市名称</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县、市名称</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县、市名称</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24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国有资本经营预算转移支付</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0</w:t>
            </w:r>
          </w:p>
        </w:tc>
        <w:tc>
          <w:tcPr>
            <w:tcW w:w="126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sz w:val="20"/>
                <w:szCs w:val="20"/>
                <w:u w:val="none"/>
                <w:lang w:val="en-US" w:eastAsia="zh-CN"/>
              </w:rPr>
              <w:t>0</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1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24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26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1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24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26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1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24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26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1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bl>
    <w:p>
      <w:pPr>
        <w:pStyle w:val="7"/>
        <w:rPr>
          <w:rFonts w:hint="default" w:ascii="Times New Roman" w:hAnsi="Times New Roman" w:eastAsia="仿宋_GB2312" w:cs="Times New Roman"/>
          <w:b/>
          <w:bCs/>
          <w:i w:val="0"/>
          <w:color w:val="000000"/>
          <w:kern w:val="0"/>
          <w:sz w:val="22"/>
          <w:szCs w:val="22"/>
          <w:u w:val="none"/>
          <w:lang w:val="en-US" w:eastAsia="zh-CN" w:bidi="ar"/>
        </w:rPr>
      </w:pPr>
      <w:r>
        <w:rPr>
          <w:rFonts w:hint="eastAsia" w:ascii="Times New Roman" w:hAnsi="Times New Roman" w:eastAsia="仿宋_GB2312" w:cs="Times New Roman"/>
          <w:b/>
          <w:bCs/>
          <w:i w:val="0"/>
          <w:color w:val="000000"/>
          <w:kern w:val="0"/>
          <w:sz w:val="22"/>
          <w:szCs w:val="22"/>
          <w:u w:val="none"/>
          <w:lang w:val="en-US" w:eastAsia="zh-CN" w:bidi="ar"/>
        </w:rPr>
        <w:t>备注：</w:t>
      </w:r>
      <w:r>
        <w:rPr>
          <w:rFonts w:hint="default" w:ascii="Times New Roman" w:hAnsi="Times New Roman" w:eastAsia="仿宋_GB2312" w:cs="Times New Roman"/>
          <w:b/>
          <w:bCs/>
          <w:i w:val="0"/>
          <w:color w:val="000000"/>
          <w:kern w:val="0"/>
          <w:sz w:val="22"/>
          <w:szCs w:val="22"/>
          <w:u w:val="none"/>
          <w:lang w:val="en-US" w:eastAsia="zh-CN" w:bidi="ar"/>
        </w:rPr>
        <w:t>2025年泽普县</w:t>
      </w:r>
      <w:r>
        <w:rPr>
          <w:rFonts w:hint="eastAsia" w:eastAsia="仿宋_GB2312" w:cs="Times New Roman"/>
          <w:b/>
          <w:bCs/>
          <w:i w:val="0"/>
          <w:color w:val="000000"/>
          <w:kern w:val="0"/>
          <w:sz w:val="22"/>
          <w:szCs w:val="22"/>
          <w:u w:val="none"/>
          <w:lang w:val="en-US" w:eastAsia="zh-CN" w:bidi="ar"/>
        </w:rPr>
        <w:t>无</w:t>
      </w:r>
      <w:r>
        <w:rPr>
          <w:rFonts w:hint="default" w:ascii="Times New Roman" w:hAnsi="Times New Roman" w:eastAsia="仿宋_GB2312" w:cs="Times New Roman"/>
          <w:b/>
          <w:bCs/>
          <w:i w:val="0"/>
          <w:color w:val="000000"/>
          <w:kern w:val="0"/>
          <w:sz w:val="22"/>
          <w:szCs w:val="22"/>
          <w:u w:val="none"/>
          <w:lang w:val="en-US" w:eastAsia="zh-CN" w:bidi="ar"/>
        </w:rPr>
        <w:t>国有资本经营预算对下转移支付安排情况表</w:t>
      </w:r>
    </w:p>
    <w:p>
      <w:pPr>
        <w:pStyle w:val="7"/>
        <w:rPr>
          <w:rFonts w:hint="default" w:ascii="Times New Roman" w:hAnsi="Times New Roman" w:eastAsia="仿宋_GB2312" w:cs="Times New Roman"/>
          <w:b/>
          <w:bCs/>
          <w:i w:val="0"/>
          <w:color w:val="000000"/>
          <w:kern w:val="0"/>
          <w:sz w:val="22"/>
          <w:szCs w:val="22"/>
          <w:u w:val="none"/>
          <w:lang w:val="en-US" w:eastAsia="zh-Hans" w:bidi="ar"/>
        </w:rPr>
      </w:pPr>
    </w:p>
    <w:p>
      <w:pPr>
        <w:numPr>
          <w:ilvl w:val="0"/>
          <w:numId w:val="2"/>
        </w:numPr>
        <w:tabs>
          <w:tab w:val="left" w:pos="2148"/>
        </w:tabs>
        <w:spacing w:before="190" w:line="350" w:lineRule="auto"/>
        <w:ind w:right="3265" w:rightChars="0" w:firstLine="643" w:firstLineChars="200"/>
        <w:jc w:val="both"/>
        <w:rPr>
          <w:rFonts w:hint="default" w:ascii="Times New Roman" w:hAnsi="Times New Roman" w:eastAsia="楷体_GB2312" w:cs="Times New Roman"/>
          <w:b/>
          <w:bCs w:val="0"/>
          <w:kern w:val="0"/>
          <w:sz w:val="32"/>
          <w:szCs w:val="32"/>
          <w:highlight w:val="none"/>
          <w:lang w:val="en-US" w:eastAsia="zh-Hans"/>
        </w:rPr>
      </w:pPr>
      <w:r>
        <w:rPr>
          <w:rFonts w:hint="default" w:ascii="Times New Roman" w:hAnsi="Times New Roman" w:eastAsia="楷体_GB2312" w:cs="Times New Roman"/>
          <w:b/>
          <w:bCs w:val="0"/>
          <w:kern w:val="0"/>
          <w:sz w:val="32"/>
          <w:szCs w:val="32"/>
          <w:highlight w:val="none"/>
          <w:lang w:val="en-US" w:eastAsia="zh-Hans"/>
        </w:rPr>
        <w:t>社会保险基金预算</w:t>
      </w:r>
      <w:r>
        <w:rPr>
          <w:rFonts w:hint="default" w:ascii="Times New Roman" w:hAnsi="Times New Roman" w:eastAsia="楷体_GB2312" w:cs="Times New Roman"/>
          <w:b/>
          <w:bCs w:val="0"/>
          <w:kern w:val="0"/>
          <w:sz w:val="32"/>
          <w:szCs w:val="32"/>
          <w:highlight w:val="none"/>
          <w:lang w:val="en-US" w:eastAsia="zh-CN"/>
        </w:rPr>
        <w:t>公开</w:t>
      </w:r>
      <w:r>
        <w:rPr>
          <w:rFonts w:hint="default" w:ascii="Times New Roman" w:hAnsi="Times New Roman" w:eastAsia="楷体_GB2312" w:cs="Times New Roman"/>
          <w:b/>
          <w:bCs w:val="0"/>
          <w:kern w:val="0"/>
          <w:sz w:val="32"/>
          <w:szCs w:val="32"/>
          <w:highlight w:val="none"/>
          <w:lang w:val="en-US" w:eastAsia="zh-Hans"/>
        </w:rPr>
        <w:t>表</w:t>
      </w:r>
    </w:p>
    <w:p>
      <w:pPr>
        <w:pStyle w:val="2"/>
        <w:rPr>
          <w:rFonts w:hint="default"/>
          <w:lang w:val="en-US" w:eastAsia="zh-Hans"/>
        </w:rPr>
      </w:pPr>
    </w:p>
    <w:tbl>
      <w:tblPr>
        <w:tblStyle w:val="8"/>
        <w:tblW w:w="914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47"/>
        <w:gridCol w:w="3470"/>
        <w:gridCol w:w="1626"/>
        <w:gridCol w:w="1464"/>
        <w:gridCol w:w="14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147"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表21</w:t>
            </w:r>
          </w:p>
        </w:tc>
        <w:tc>
          <w:tcPr>
            <w:tcW w:w="3470" w:type="dxa"/>
            <w:tcBorders>
              <w:top w:val="nil"/>
              <w:left w:val="nil"/>
              <w:bottom w:val="nil"/>
              <w:right w:val="nil"/>
            </w:tcBorders>
            <w:shd w:val="clear" w:color="auto" w:fill="auto"/>
            <w:vAlign w:val="bottom"/>
          </w:tcPr>
          <w:p>
            <w:pPr>
              <w:jc w:val="both"/>
              <w:rPr>
                <w:rFonts w:hint="default" w:ascii="Times New Roman" w:hAnsi="Times New Roman" w:eastAsia="宋体" w:cs="Times New Roman"/>
                <w:i w:val="0"/>
                <w:iCs w:val="0"/>
                <w:color w:val="000000"/>
                <w:sz w:val="20"/>
                <w:szCs w:val="20"/>
                <w:u w:val="none"/>
              </w:rPr>
            </w:pPr>
          </w:p>
        </w:tc>
        <w:tc>
          <w:tcPr>
            <w:tcW w:w="1626" w:type="dxa"/>
            <w:tcBorders>
              <w:top w:val="nil"/>
              <w:left w:val="nil"/>
              <w:bottom w:val="nil"/>
              <w:right w:val="nil"/>
            </w:tcBorders>
            <w:shd w:val="clear" w:color="auto" w:fill="auto"/>
            <w:vAlign w:val="bottom"/>
          </w:tcPr>
          <w:p>
            <w:pPr>
              <w:jc w:val="both"/>
              <w:rPr>
                <w:rFonts w:hint="default" w:ascii="Times New Roman" w:hAnsi="Times New Roman" w:eastAsia="宋体" w:cs="Times New Roman"/>
                <w:i w:val="0"/>
                <w:iCs w:val="0"/>
                <w:color w:val="000000"/>
                <w:sz w:val="20"/>
                <w:szCs w:val="20"/>
                <w:u w:val="none"/>
              </w:rPr>
            </w:pPr>
          </w:p>
        </w:tc>
        <w:tc>
          <w:tcPr>
            <w:tcW w:w="1464" w:type="dxa"/>
            <w:tcBorders>
              <w:top w:val="nil"/>
              <w:left w:val="nil"/>
              <w:bottom w:val="nil"/>
              <w:right w:val="nil"/>
            </w:tcBorders>
            <w:shd w:val="clear" w:color="auto" w:fill="auto"/>
            <w:vAlign w:val="bottom"/>
          </w:tcPr>
          <w:p>
            <w:pPr>
              <w:jc w:val="both"/>
              <w:rPr>
                <w:rFonts w:hint="default" w:ascii="Times New Roman" w:hAnsi="Times New Roman" w:eastAsia="宋体" w:cs="Times New Roman"/>
                <w:i w:val="0"/>
                <w:iCs w:val="0"/>
                <w:color w:val="000000"/>
                <w:sz w:val="20"/>
                <w:szCs w:val="20"/>
                <w:u w:val="none"/>
              </w:rPr>
            </w:pPr>
          </w:p>
        </w:tc>
        <w:tc>
          <w:tcPr>
            <w:tcW w:w="1436" w:type="dxa"/>
            <w:tcBorders>
              <w:top w:val="nil"/>
              <w:left w:val="nil"/>
              <w:bottom w:val="nil"/>
              <w:right w:val="nil"/>
            </w:tcBorders>
            <w:shd w:val="clear" w:color="auto" w:fill="auto"/>
            <w:vAlign w:val="bottom"/>
          </w:tcPr>
          <w:p>
            <w:pPr>
              <w:jc w:val="both"/>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147" w:type="dxa"/>
            <w:tcBorders>
              <w:top w:val="nil"/>
              <w:left w:val="nil"/>
              <w:bottom w:val="nil"/>
              <w:right w:val="nil"/>
            </w:tcBorders>
            <w:shd w:val="clear" w:color="auto" w:fill="auto"/>
            <w:vAlign w:val="bottom"/>
          </w:tcPr>
          <w:p>
            <w:pPr>
              <w:jc w:val="both"/>
              <w:rPr>
                <w:rFonts w:hint="default" w:ascii="Times New Roman" w:hAnsi="Times New Roman" w:eastAsia="宋体" w:cs="Times New Roman"/>
                <w:i w:val="0"/>
                <w:iCs w:val="0"/>
                <w:color w:val="000000"/>
                <w:sz w:val="20"/>
                <w:szCs w:val="20"/>
                <w:u w:val="none"/>
              </w:rPr>
            </w:pPr>
          </w:p>
        </w:tc>
        <w:tc>
          <w:tcPr>
            <w:tcW w:w="7996" w:type="dxa"/>
            <w:gridSpan w:val="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2025年泽普县社会保险基金预算收入表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47" w:type="dxa"/>
            <w:tcBorders>
              <w:top w:val="nil"/>
              <w:left w:val="nil"/>
              <w:bottom w:val="nil"/>
              <w:right w:val="nil"/>
            </w:tcBorders>
            <w:shd w:val="clear" w:color="auto" w:fill="FFFFFF"/>
            <w:vAlign w:val="bottom"/>
          </w:tcPr>
          <w:p>
            <w:pPr>
              <w:jc w:val="both"/>
              <w:rPr>
                <w:rFonts w:hint="default" w:ascii="Times New Roman" w:hAnsi="Times New Roman" w:eastAsia="宋体" w:cs="Times New Roman"/>
                <w:i w:val="0"/>
                <w:iCs w:val="0"/>
                <w:color w:val="000000"/>
                <w:sz w:val="20"/>
                <w:szCs w:val="20"/>
                <w:u w:val="none"/>
              </w:rPr>
            </w:pPr>
          </w:p>
        </w:tc>
        <w:tc>
          <w:tcPr>
            <w:tcW w:w="3470" w:type="dxa"/>
            <w:tcBorders>
              <w:top w:val="nil"/>
              <w:left w:val="nil"/>
              <w:bottom w:val="nil"/>
              <w:right w:val="nil"/>
            </w:tcBorders>
            <w:shd w:val="clear" w:color="auto" w:fill="FFFFFF"/>
            <w:vAlign w:val="bottom"/>
          </w:tcPr>
          <w:p>
            <w:pPr>
              <w:jc w:val="center"/>
              <w:rPr>
                <w:rFonts w:hint="default" w:ascii="Times New Roman" w:hAnsi="Times New Roman" w:eastAsia="宋体" w:cs="Times New Roman"/>
                <w:i w:val="0"/>
                <w:iCs w:val="0"/>
                <w:color w:val="000000"/>
                <w:sz w:val="20"/>
                <w:szCs w:val="20"/>
                <w:u w:val="none"/>
              </w:rPr>
            </w:pPr>
          </w:p>
        </w:tc>
        <w:tc>
          <w:tcPr>
            <w:tcW w:w="1626" w:type="dxa"/>
            <w:tcBorders>
              <w:top w:val="nil"/>
              <w:left w:val="nil"/>
              <w:bottom w:val="nil"/>
              <w:right w:val="nil"/>
            </w:tcBorders>
            <w:shd w:val="clear" w:color="auto" w:fill="FFFFFF"/>
            <w:vAlign w:val="bottom"/>
          </w:tcPr>
          <w:p>
            <w:pPr>
              <w:jc w:val="center"/>
              <w:rPr>
                <w:rFonts w:hint="default" w:ascii="Times New Roman" w:hAnsi="Times New Roman" w:eastAsia="宋体" w:cs="Times New Roman"/>
                <w:i w:val="0"/>
                <w:iCs w:val="0"/>
                <w:color w:val="000000"/>
                <w:sz w:val="20"/>
                <w:szCs w:val="20"/>
                <w:u w:val="none"/>
              </w:rPr>
            </w:pPr>
          </w:p>
        </w:tc>
        <w:tc>
          <w:tcPr>
            <w:tcW w:w="1464" w:type="dxa"/>
            <w:tcBorders>
              <w:top w:val="nil"/>
              <w:left w:val="nil"/>
              <w:bottom w:val="nil"/>
              <w:right w:val="nil"/>
            </w:tcBorders>
            <w:shd w:val="clear" w:color="auto" w:fill="FFFFFF"/>
            <w:vAlign w:val="bottom"/>
          </w:tcPr>
          <w:p>
            <w:pPr>
              <w:jc w:val="center"/>
              <w:rPr>
                <w:rFonts w:hint="default" w:ascii="Times New Roman" w:hAnsi="Times New Roman" w:eastAsia="宋体" w:cs="Times New Roman"/>
                <w:i w:val="0"/>
                <w:iCs w:val="0"/>
                <w:color w:val="000000"/>
                <w:sz w:val="20"/>
                <w:szCs w:val="20"/>
                <w:u w:val="none"/>
              </w:rPr>
            </w:pPr>
          </w:p>
        </w:tc>
        <w:tc>
          <w:tcPr>
            <w:tcW w:w="1436" w:type="dxa"/>
            <w:tcBorders>
              <w:top w:val="nil"/>
              <w:left w:val="nil"/>
              <w:bottom w:val="nil"/>
              <w:right w:val="nil"/>
            </w:tcBorders>
            <w:shd w:val="clear" w:color="auto" w:fill="FFFFFF"/>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114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科目编码</w:t>
            </w:r>
          </w:p>
        </w:tc>
        <w:tc>
          <w:tcPr>
            <w:tcW w:w="3470" w:type="dxa"/>
            <w:vMerge w:val="restart"/>
            <w:tcBorders>
              <w:top w:val="single" w:color="000000" w:sz="8" w:space="0"/>
              <w:left w:val="nil"/>
              <w:bottom w:val="single" w:color="000000" w:sz="8" w:space="0"/>
              <w:right w:val="single" w:color="000000" w:sz="8"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项目</w:t>
            </w:r>
          </w:p>
        </w:tc>
        <w:tc>
          <w:tcPr>
            <w:tcW w:w="1626" w:type="dxa"/>
            <w:vMerge w:val="restart"/>
            <w:tcBorders>
              <w:top w:val="single" w:color="000000" w:sz="8" w:space="0"/>
              <w:left w:val="nil"/>
              <w:bottom w:val="single" w:color="000000" w:sz="8" w:space="0"/>
              <w:right w:val="single" w:color="000000" w:sz="8"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2024年完成数</w:t>
            </w:r>
          </w:p>
        </w:tc>
        <w:tc>
          <w:tcPr>
            <w:tcW w:w="1464" w:type="dxa"/>
            <w:vMerge w:val="restart"/>
            <w:tcBorders>
              <w:top w:val="single" w:color="000000" w:sz="8" w:space="0"/>
              <w:left w:val="nil"/>
              <w:bottom w:val="single" w:color="000000" w:sz="8" w:space="0"/>
              <w:right w:val="single" w:color="000000" w:sz="8"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2025年预算数</w:t>
            </w:r>
          </w:p>
        </w:tc>
        <w:tc>
          <w:tcPr>
            <w:tcW w:w="1436" w:type="dxa"/>
            <w:vMerge w:val="restart"/>
            <w:tcBorders>
              <w:top w:val="single" w:color="000000" w:sz="8" w:space="0"/>
              <w:left w:val="nil"/>
              <w:bottom w:val="nil"/>
              <w:right w:val="single" w:color="000000" w:sz="8"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预算数为上年完成数的%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14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hint="default" w:ascii="Times New Roman" w:hAnsi="Times New Roman" w:eastAsia="宋体" w:cs="Times New Roman"/>
                <w:b/>
                <w:bCs/>
                <w:i w:val="0"/>
                <w:iCs w:val="0"/>
                <w:color w:val="000000"/>
                <w:sz w:val="20"/>
                <w:szCs w:val="20"/>
                <w:u w:val="none"/>
              </w:rPr>
            </w:pPr>
          </w:p>
        </w:tc>
        <w:tc>
          <w:tcPr>
            <w:tcW w:w="3470" w:type="dxa"/>
            <w:vMerge w:val="continue"/>
            <w:tcBorders>
              <w:top w:val="single" w:color="000000" w:sz="8" w:space="0"/>
              <w:left w:val="nil"/>
              <w:bottom w:val="single" w:color="000000" w:sz="8" w:space="0"/>
              <w:right w:val="single" w:color="000000" w:sz="8" w:space="0"/>
            </w:tcBorders>
            <w:shd w:val="clear" w:color="auto" w:fill="FFFFFF"/>
            <w:vAlign w:val="center"/>
          </w:tcPr>
          <w:p>
            <w:pPr>
              <w:jc w:val="center"/>
              <w:rPr>
                <w:rFonts w:hint="default" w:ascii="Times New Roman" w:hAnsi="Times New Roman" w:eastAsia="宋体" w:cs="Times New Roman"/>
                <w:b/>
                <w:bCs/>
                <w:i w:val="0"/>
                <w:iCs w:val="0"/>
                <w:color w:val="000000"/>
                <w:sz w:val="20"/>
                <w:szCs w:val="20"/>
                <w:u w:val="none"/>
              </w:rPr>
            </w:pPr>
          </w:p>
        </w:tc>
        <w:tc>
          <w:tcPr>
            <w:tcW w:w="1626" w:type="dxa"/>
            <w:vMerge w:val="continue"/>
            <w:tcBorders>
              <w:top w:val="single" w:color="000000" w:sz="8" w:space="0"/>
              <w:left w:val="nil"/>
              <w:bottom w:val="single" w:color="000000" w:sz="8" w:space="0"/>
              <w:right w:val="single" w:color="000000" w:sz="8" w:space="0"/>
            </w:tcBorders>
            <w:shd w:val="clear" w:color="auto" w:fill="FFFFFF"/>
            <w:vAlign w:val="center"/>
          </w:tcPr>
          <w:p>
            <w:pPr>
              <w:jc w:val="center"/>
              <w:rPr>
                <w:rFonts w:hint="default" w:ascii="Times New Roman" w:hAnsi="Times New Roman" w:eastAsia="宋体" w:cs="Times New Roman"/>
                <w:b/>
                <w:bCs/>
                <w:i w:val="0"/>
                <w:iCs w:val="0"/>
                <w:color w:val="000000"/>
                <w:sz w:val="20"/>
                <w:szCs w:val="20"/>
                <w:u w:val="none"/>
              </w:rPr>
            </w:pPr>
          </w:p>
        </w:tc>
        <w:tc>
          <w:tcPr>
            <w:tcW w:w="1464" w:type="dxa"/>
            <w:vMerge w:val="continue"/>
            <w:tcBorders>
              <w:top w:val="single" w:color="000000" w:sz="8" w:space="0"/>
              <w:left w:val="nil"/>
              <w:bottom w:val="single" w:color="000000" w:sz="8" w:space="0"/>
              <w:right w:val="single" w:color="000000" w:sz="8" w:space="0"/>
            </w:tcBorders>
            <w:shd w:val="clear" w:color="auto" w:fill="FFFFFF"/>
            <w:vAlign w:val="center"/>
          </w:tcPr>
          <w:p>
            <w:pPr>
              <w:jc w:val="center"/>
              <w:rPr>
                <w:rFonts w:hint="default" w:ascii="Times New Roman" w:hAnsi="Times New Roman" w:eastAsia="宋体" w:cs="Times New Roman"/>
                <w:b/>
                <w:bCs/>
                <w:i w:val="0"/>
                <w:iCs w:val="0"/>
                <w:color w:val="000000"/>
                <w:sz w:val="20"/>
                <w:szCs w:val="20"/>
                <w:u w:val="none"/>
              </w:rPr>
            </w:pPr>
          </w:p>
        </w:tc>
        <w:tc>
          <w:tcPr>
            <w:tcW w:w="1436" w:type="dxa"/>
            <w:vMerge w:val="continue"/>
            <w:tcBorders>
              <w:top w:val="single" w:color="000000" w:sz="8" w:space="0"/>
              <w:left w:val="nil"/>
              <w:bottom w:val="nil"/>
              <w:right w:val="single" w:color="000000" w:sz="8" w:space="0"/>
            </w:tcBorders>
            <w:shd w:val="clear" w:color="auto" w:fill="FFFFFF"/>
            <w:vAlign w:val="center"/>
          </w:tcPr>
          <w:p>
            <w:pPr>
              <w:jc w:val="center"/>
              <w:rPr>
                <w:rFonts w:hint="default" w:ascii="Times New Roman" w:hAnsi="Times New Roman" w:eastAsia="宋体" w:cs="Times New Roman"/>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jc w:val="center"/>
        </w:trPr>
        <w:tc>
          <w:tcPr>
            <w:tcW w:w="114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w:t>
            </w:r>
          </w:p>
        </w:tc>
        <w:tc>
          <w:tcPr>
            <w:tcW w:w="3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社会保险基金收入合计</w:t>
            </w:r>
          </w:p>
        </w:tc>
        <w:tc>
          <w:tcPr>
            <w:tcW w:w="16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7944.78</w:t>
            </w:r>
          </w:p>
        </w:tc>
        <w:tc>
          <w:tcPr>
            <w:tcW w:w="14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7509.32</w:t>
            </w:r>
          </w:p>
        </w:tc>
        <w:tc>
          <w:tcPr>
            <w:tcW w:w="14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5" w:hRule="atLeast"/>
          <w:jc w:val="center"/>
        </w:trPr>
        <w:tc>
          <w:tcPr>
            <w:tcW w:w="1147" w:type="dxa"/>
            <w:tcBorders>
              <w:top w:val="single" w:color="000000" w:sz="4" w:space="0"/>
              <w:left w:val="single" w:color="000000" w:sz="4" w:space="0"/>
              <w:bottom w:val="single" w:color="000000" w:sz="4" w:space="0"/>
              <w:right w:val="single" w:color="000000" w:sz="4" w:space="0"/>
            </w:tcBorders>
            <w:shd w:val="clear" w:color="auto" w:fill="FFFFFF"/>
            <w:vAlign w:val="bottom"/>
          </w:tcPr>
          <w:p>
            <w:pPr>
              <w:jc w:val="left"/>
              <w:rPr>
                <w:rFonts w:hint="default" w:ascii="Times New Roman" w:hAnsi="Times New Roman" w:eastAsia="宋体" w:cs="Times New Roman"/>
                <w:i w:val="0"/>
                <w:iCs w:val="0"/>
                <w:color w:val="000000"/>
                <w:sz w:val="21"/>
                <w:szCs w:val="21"/>
                <w:u w:val="none"/>
              </w:rPr>
            </w:pPr>
          </w:p>
        </w:tc>
        <w:tc>
          <w:tcPr>
            <w:tcW w:w="3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其中:保险费收入</w:t>
            </w:r>
          </w:p>
        </w:tc>
        <w:tc>
          <w:tcPr>
            <w:tcW w:w="16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3164.44</w:t>
            </w:r>
          </w:p>
        </w:tc>
        <w:tc>
          <w:tcPr>
            <w:tcW w:w="14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2408.78</w:t>
            </w:r>
          </w:p>
        </w:tc>
        <w:tc>
          <w:tcPr>
            <w:tcW w:w="14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-23.88%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47" w:type="dxa"/>
            <w:tcBorders>
              <w:top w:val="single" w:color="000000" w:sz="4" w:space="0"/>
              <w:left w:val="single" w:color="000000" w:sz="4" w:space="0"/>
              <w:bottom w:val="single" w:color="000000" w:sz="4" w:space="0"/>
              <w:right w:val="single" w:color="000000" w:sz="4" w:space="0"/>
            </w:tcBorders>
            <w:shd w:val="clear" w:color="auto" w:fill="FFFFFF"/>
            <w:vAlign w:val="bottom"/>
          </w:tcPr>
          <w:p>
            <w:pPr>
              <w:jc w:val="left"/>
              <w:rPr>
                <w:rFonts w:hint="default" w:ascii="Times New Roman" w:hAnsi="Times New Roman" w:eastAsia="宋体" w:cs="Times New Roman"/>
                <w:i w:val="0"/>
                <w:iCs w:val="0"/>
                <w:color w:val="000000"/>
                <w:sz w:val="21"/>
                <w:szCs w:val="21"/>
                <w:u w:val="none"/>
              </w:rPr>
            </w:pPr>
          </w:p>
        </w:tc>
        <w:tc>
          <w:tcPr>
            <w:tcW w:w="34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 xml:space="preserve">       社会保险基金财政补贴收入</w:t>
            </w:r>
          </w:p>
        </w:tc>
        <w:tc>
          <w:tcPr>
            <w:tcW w:w="16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4063.13</w:t>
            </w:r>
          </w:p>
        </w:tc>
        <w:tc>
          <w:tcPr>
            <w:tcW w:w="14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282.29</w:t>
            </w:r>
          </w:p>
        </w:tc>
        <w:tc>
          <w:tcPr>
            <w:tcW w:w="14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-93.05%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47" w:type="dxa"/>
            <w:tcBorders>
              <w:top w:val="single" w:color="000000" w:sz="4" w:space="0"/>
              <w:left w:val="single" w:color="000000" w:sz="4" w:space="0"/>
              <w:bottom w:val="single" w:color="000000" w:sz="4" w:space="0"/>
              <w:right w:val="single" w:color="000000" w:sz="4" w:space="0"/>
            </w:tcBorders>
            <w:shd w:val="clear" w:color="auto" w:fill="FFFFFF"/>
            <w:vAlign w:val="bottom"/>
          </w:tcPr>
          <w:p>
            <w:pPr>
              <w:jc w:val="left"/>
              <w:rPr>
                <w:rFonts w:hint="default" w:ascii="Times New Roman" w:hAnsi="Times New Roman" w:eastAsia="宋体" w:cs="Times New Roman"/>
                <w:i w:val="0"/>
                <w:iCs w:val="0"/>
                <w:color w:val="000000"/>
                <w:sz w:val="21"/>
                <w:szCs w:val="21"/>
                <w:u w:val="none"/>
              </w:rPr>
            </w:pPr>
          </w:p>
        </w:tc>
        <w:tc>
          <w:tcPr>
            <w:tcW w:w="3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 xml:space="preserve">       利息收入</w:t>
            </w:r>
          </w:p>
        </w:tc>
        <w:tc>
          <w:tcPr>
            <w:tcW w:w="16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157.32</w:t>
            </w:r>
          </w:p>
        </w:tc>
        <w:tc>
          <w:tcPr>
            <w:tcW w:w="14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175.86</w:t>
            </w:r>
          </w:p>
        </w:tc>
        <w:tc>
          <w:tcPr>
            <w:tcW w:w="14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11.78%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5" w:hRule="atLeast"/>
          <w:jc w:val="center"/>
        </w:trPr>
        <w:tc>
          <w:tcPr>
            <w:tcW w:w="114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10201</w:t>
            </w:r>
          </w:p>
        </w:tc>
        <w:tc>
          <w:tcPr>
            <w:tcW w:w="3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一、企业职工基本养老保险基金收入</w:t>
            </w:r>
          </w:p>
        </w:tc>
        <w:tc>
          <w:tcPr>
            <w:tcW w:w="1626"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64"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jc w:val="center"/>
        </w:trPr>
        <w:tc>
          <w:tcPr>
            <w:tcW w:w="114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1020101</w:t>
            </w:r>
          </w:p>
        </w:tc>
        <w:tc>
          <w:tcPr>
            <w:tcW w:w="3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其中:企业职工基本养老保险费收入</w:t>
            </w:r>
          </w:p>
        </w:tc>
        <w:tc>
          <w:tcPr>
            <w:tcW w:w="1626"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64"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4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1020102</w:t>
            </w:r>
          </w:p>
        </w:tc>
        <w:tc>
          <w:tcPr>
            <w:tcW w:w="3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 xml:space="preserve">     企业职工基本养老保险基金财政补贴收入</w:t>
            </w:r>
          </w:p>
        </w:tc>
        <w:tc>
          <w:tcPr>
            <w:tcW w:w="1626"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64"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114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1020103</w:t>
            </w:r>
          </w:p>
        </w:tc>
        <w:tc>
          <w:tcPr>
            <w:tcW w:w="3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 xml:space="preserve">     企业职工基本养老保险基金利息收入</w:t>
            </w:r>
          </w:p>
        </w:tc>
        <w:tc>
          <w:tcPr>
            <w:tcW w:w="1626"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64"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5" w:hRule="atLeast"/>
          <w:jc w:val="center"/>
        </w:trPr>
        <w:tc>
          <w:tcPr>
            <w:tcW w:w="114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10211</w:t>
            </w:r>
          </w:p>
        </w:tc>
        <w:tc>
          <w:tcPr>
            <w:tcW w:w="3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二、机关事业基本养老保险基金收入</w:t>
            </w:r>
          </w:p>
        </w:tc>
        <w:tc>
          <w:tcPr>
            <w:tcW w:w="1626"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64"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i w:val="0"/>
                <w:iCs w:val="0"/>
                <w:color w:val="000000"/>
                <w:sz w:val="21"/>
                <w:szCs w:val="21"/>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4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1021101</w:t>
            </w:r>
          </w:p>
        </w:tc>
        <w:tc>
          <w:tcPr>
            <w:tcW w:w="3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其中:机关事业单位基本养老保险费收入</w:t>
            </w:r>
          </w:p>
        </w:tc>
        <w:tc>
          <w:tcPr>
            <w:tcW w:w="1626"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64"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i w:val="0"/>
                <w:iCs w:val="0"/>
                <w:color w:val="000000"/>
                <w:sz w:val="21"/>
                <w:szCs w:val="21"/>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4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1021102</w:t>
            </w:r>
          </w:p>
        </w:tc>
        <w:tc>
          <w:tcPr>
            <w:tcW w:w="3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 xml:space="preserve">     机关事业单位基本养老保险基金财政补贴收入</w:t>
            </w:r>
          </w:p>
        </w:tc>
        <w:tc>
          <w:tcPr>
            <w:tcW w:w="1626"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64"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i w:val="0"/>
                <w:iCs w:val="0"/>
                <w:color w:val="000000"/>
                <w:sz w:val="21"/>
                <w:szCs w:val="21"/>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4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1021103</w:t>
            </w:r>
          </w:p>
        </w:tc>
        <w:tc>
          <w:tcPr>
            <w:tcW w:w="3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 xml:space="preserve">     机关事业单位基本养老保险基金利息收入</w:t>
            </w:r>
          </w:p>
        </w:tc>
        <w:tc>
          <w:tcPr>
            <w:tcW w:w="1626"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64"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i w:val="0"/>
                <w:iCs w:val="0"/>
                <w:color w:val="000000"/>
                <w:sz w:val="21"/>
                <w:szCs w:val="21"/>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4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10210</w:t>
            </w:r>
          </w:p>
        </w:tc>
        <w:tc>
          <w:tcPr>
            <w:tcW w:w="3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三、城乡居民基本养老保险基金收入</w:t>
            </w:r>
          </w:p>
        </w:tc>
        <w:tc>
          <w:tcPr>
            <w:tcW w:w="16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7944.78</w:t>
            </w:r>
          </w:p>
        </w:tc>
        <w:tc>
          <w:tcPr>
            <w:tcW w:w="14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7509.32</w:t>
            </w:r>
          </w:p>
        </w:tc>
        <w:tc>
          <w:tcPr>
            <w:tcW w:w="14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4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1021001</w:t>
            </w:r>
          </w:p>
        </w:tc>
        <w:tc>
          <w:tcPr>
            <w:tcW w:w="3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其中:城乡居民基本养老保险费收入</w:t>
            </w:r>
          </w:p>
        </w:tc>
        <w:tc>
          <w:tcPr>
            <w:tcW w:w="16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3164.44</w:t>
            </w:r>
          </w:p>
        </w:tc>
        <w:tc>
          <w:tcPr>
            <w:tcW w:w="14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2408.78</w:t>
            </w:r>
          </w:p>
        </w:tc>
        <w:tc>
          <w:tcPr>
            <w:tcW w:w="14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-23.88%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4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1021002</w:t>
            </w:r>
          </w:p>
        </w:tc>
        <w:tc>
          <w:tcPr>
            <w:tcW w:w="3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 xml:space="preserve">     城乡居民基本养老保险基金财政补贴收入</w:t>
            </w:r>
          </w:p>
        </w:tc>
        <w:tc>
          <w:tcPr>
            <w:tcW w:w="16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4063.13</w:t>
            </w:r>
          </w:p>
        </w:tc>
        <w:tc>
          <w:tcPr>
            <w:tcW w:w="14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282.29</w:t>
            </w:r>
          </w:p>
        </w:tc>
        <w:tc>
          <w:tcPr>
            <w:tcW w:w="14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-93.05%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4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1021003</w:t>
            </w:r>
          </w:p>
        </w:tc>
        <w:tc>
          <w:tcPr>
            <w:tcW w:w="3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 xml:space="preserve">     城乡居民基本养老保险基金利息收入</w:t>
            </w:r>
          </w:p>
        </w:tc>
        <w:tc>
          <w:tcPr>
            <w:tcW w:w="16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157.32</w:t>
            </w:r>
          </w:p>
        </w:tc>
        <w:tc>
          <w:tcPr>
            <w:tcW w:w="14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175.86</w:t>
            </w:r>
          </w:p>
        </w:tc>
        <w:tc>
          <w:tcPr>
            <w:tcW w:w="14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11.78%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4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10203</w:t>
            </w:r>
          </w:p>
        </w:tc>
        <w:tc>
          <w:tcPr>
            <w:tcW w:w="3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四、职工基本医疗保险基金收入</w:t>
            </w:r>
          </w:p>
        </w:tc>
        <w:tc>
          <w:tcPr>
            <w:tcW w:w="1626"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64"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i w:val="0"/>
                <w:iCs w:val="0"/>
                <w:color w:val="000000"/>
                <w:sz w:val="21"/>
                <w:szCs w:val="21"/>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4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1020301</w:t>
            </w:r>
          </w:p>
        </w:tc>
        <w:tc>
          <w:tcPr>
            <w:tcW w:w="3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其中:职工基本医疗保险费收入</w:t>
            </w:r>
          </w:p>
        </w:tc>
        <w:tc>
          <w:tcPr>
            <w:tcW w:w="1626"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64"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36"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4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1020302</w:t>
            </w:r>
          </w:p>
        </w:tc>
        <w:tc>
          <w:tcPr>
            <w:tcW w:w="3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 xml:space="preserve">     职工基本医疗保险基金财政补贴收入</w:t>
            </w:r>
          </w:p>
        </w:tc>
        <w:tc>
          <w:tcPr>
            <w:tcW w:w="1626"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64"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36"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4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1020303</w:t>
            </w:r>
          </w:p>
        </w:tc>
        <w:tc>
          <w:tcPr>
            <w:tcW w:w="3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 xml:space="preserve">     职工基本医疗保险基金利息收入</w:t>
            </w:r>
          </w:p>
        </w:tc>
        <w:tc>
          <w:tcPr>
            <w:tcW w:w="1626"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64"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36"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4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10212</w:t>
            </w:r>
          </w:p>
        </w:tc>
        <w:tc>
          <w:tcPr>
            <w:tcW w:w="3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五、城乡居民基本医疗保险基金收入</w:t>
            </w:r>
          </w:p>
        </w:tc>
        <w:tc>
          <w:tcPr>
            <w:tcW w:w="1626"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64"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36"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4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1021201</w:t>
            </w:r>
          </w:p>
        </w:tc>
        <w:tc>
          <w:tcPr>
            <w:tcW w:w="3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其中:城乡居民基本医疗保险费收入</w:t>
            </w:r>
          </w:p>
        </w:tc>
        <w:tc>
          <w:tcPr>
            <w:tcW w:w="1626"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64"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36" w:type="dxa"/>
            <w:tcBorders>
              <w:top w:val="single" w:color="000000" w:sz="4" w:space="0"/>
              <w:left w:val="single" w:color="000000" w:sz="4" w:space="0"/>
              <w:bottom w:val="single" w:color="000000" w:sz="4" w:space="0"/>
              <w:right w:val="single" w:color="000000" w:sz="4" w:space="0"/>
            </w:tcBorders>
            <w:shd w:val="clear" w:color="auto" w:fill="FFFFFF"/>
            <w:vAlign w:val="bottom"/>
          </w:tcPr>
          <w:p>
            <w:pPr>
              <w:jc w:val="center"/>
              <w:rPr>
                <w:rFonts w:hint="default" w:ascii="Times New Roman" w:hAnsi="Times New Roman" w:eastAsia="宋体" w:cs="Times New Roman"/>
                <w:i w:val="0"/>
                <w:iCs w:val="0"/>
                <w:color w:val="000000"/>
                <w:sz w:val="21"/>
                <w:szCs w:val="21"/>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4" w:hRule="atLeast"/>
          <w:jc w:val="center"/>
        </w:trPr>
        <w:tc>
          <w:tcPr>
            <w:tcW w:w="114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1021202</w:t>
            </w:r>
          </w:p>
        </w:tc>
        <w:tc>
          <w:tcPr>
            <w:tcW w:w="3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 xml:space="preserve">     城乡居民基本医疗保险基金财政补贴收入</w:t>
            </w:r>
          </w:p>
        </w:tc>
        <w:tc>
          <w:tcPr>
            <w:tcW w:w="1626"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64"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36"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4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1021203</w:t>
            </w:r>
          </w:p>
        </w:tc>
        <w:tc>
          <w:tcPr>
            <w:tcW w:w="3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 xml:space="preserve">     城乡居民基本医疗保险基金利息收入</w:t>
            </w:r>
          </w:p>
        </w:tc>
        <w:tc>
          <w:tcPr>
            <w:tcW w:w="1626"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64"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36"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4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10204</w:t>
            </w:r>
          </w:p>
        </w:tc>
        <w:tc>
          <w:tcPr>
            <w:tcW w:w="3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六、工伤保险基金收入</w:t>
            </w:r>
          </w:p>
        </w:tc>
        <w:tc>
          <w:tcPr>
            <w:tcW w:w="1626"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64"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36"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4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1020401</w:t>
            </w:r>
          </w:p>
        </w:tc>
        <w:tc>
          <w:tcPr>
            <w:tcW w:w="3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其中:工伤保险费收入</w:t>
            </w:r>
          </w:p>
        </w:tc>
        <w:tc>
          <w:tcPr>
            <w:tcW w:w="1626"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64"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36"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4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1020402</w:t>
            </w:r>
          </w:p>
        </w:tc>
        <w:tc>
          <w:tcPr>
            <w:tcW w:w="3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 xml:space="preserve">  工伤保险基金财政补贴收入</w:t>
            </w:r>
          </w:p>
        </w:tc>
        <w:tc>
          <w:tcPr>
            <w:tcW w:w="1626"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64"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36"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4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1020403</w:t>
            </w:r>
          </w:p>
        </w:tc>
        <w:tc>
          <w:tcPr>
            <w:tcW w:w="3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 xml:space="preserve">  工伤保险基金利息收入</w:t>
            </w:r>
          </w:p>
        </w:tc>
        <w:tc>
          <w:tcPr>
            <w:tcW w:w="1626"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64"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36"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4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10202</w:t>
            </w:r>
          </w:p>
        </w:tc>
        <w:tc>
          <w:tcPr>
            <w:tcW w:w="3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七、失业保险基金收入</w:t>
            </w:r>
          </w:p>
        </w:tc>
        <w:tc>
          <w:tcPr>
            <w:tcW w:w="1626"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64"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36"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4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1020201</w:t>
            </w:r>
          </w:p>
        </w:tc>
        <w:tc>
          <w:tcPr>
            <w:tcW w:w="3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 xml:space="preserve">  其中:失业保险费收入</w:t>
            </w:r>
          </w:p>
        </w:tc>
        <w:tc>
          <w:tcPr>
            <w:tcW w:w="1626"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64"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36"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4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1020202</w:t>
            </w:r>
          </w:p>
        </w:tc>
        <w:tc>
          <w:tcPr>
            <w:tcW w:w="3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 xml:space="preserve">  失业保险财政补贴收入</w:t>
            </w:r>
          </w:p>
        </w:tc>
        <w:tc>
          <w:tcPr>
            <w:tcW w:w="1626"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64"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36"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4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1020203</w:t>
            </w:r>
          </w:p>
        </w:tc>
        <w:tc>
          <w:tcPr>
            <w:tcW w:w="3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 xml:space="preserve">  失业保险利息收入</w:t>
            </w:r>
          </w:p>
        </w:tc>
        <w:tc>
          <w:tcPr>
            <w:tcW w:w="1626"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64"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36"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r>
    </w:tbl>
    <w:p>
      <w:pPr>
        <w:pStyle w:val="2"/>
        <w:ind w:left="0" w:leftChars="0" w:firstLine="0" w:firstLineChars="0"/>
        <w:rPr>
          <w:rFonts w:hint="default" w:ascii="Times New Roman" w:hAnsi="Times New Roman" w:cs="Times New Roman"/>
          <w:lang w:val="en-US" w:eastAsia="zh-Hans"/>
        </w:rPr>
      </w:pPr>
    </w:p>
    <w:tbl>
      <w:tblPr>
        <w:tblStyle w:val="8"/>
        <w:tblpPr w:leftFromText="180" w:rightFromText="180" w:vertAnchor="text" w:horzAnchor="page" w:tblpXSpec="center" w:tblpY="289"/>
        <w:tblOverlap w:val="never"/>
        <w:tblW w:w="94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1139"/>
        <w:gridCol w:w="4125"/>
        <w:gridCol w:w="1470"/>
        <w:gridCol w:w="1440"/>
        <w:gridCol w:w="12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06" w:hRule="atLeast"/>
          <w:jc w:val="center"/>
        </w:trPr>
        <w:tc>
          <w:tcPr>
            <w:tcW w:w="1139" w:type="dxa"/>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表</w:t>
            </w:r>
            <w:r>
              <w:rPr>
                <w:rFonts w:hint="default" w:ascii="Times New Roman" w:hAnsi="Times New Roman" w:cs="Times New Roman"/>
                <w:highlight w:val="none"/>
                <w:lang w:eastAsia="zh-CN"/>
              </w:rPr>
              <w:t>22</w:t>
            </w:r>
          </w:p>
        </w:tc>
        <w:tc>
          <w:tcPr>
            <w:tcW w:w="4125" w:type="dxa"/>
            <w:noWrap w:val="0"/>
            <w:vAlign w:val="center"/>
          </w:tcPr>
          <w:p>
            <w:pPr>
              <w:rPr>
                <w:rFonts w:hint="default" w:ascii="Times New Roman" w:hAnsi="Times New Roman" w:cs="Times New Roman"/>
                <w:highlight w:val="none"/>
              </w:rPr>
            </w:pPr>
          </w:p>
        </w:tc>
        <w:tc>
          <w:tcPr>
            <w:tcW w:w="1470" w:type="dxa"/>
            <w:noWrap w:val="0"/>
            <w:vAlign w:val="center"/>
          </w:tcPr>
          <w:p>
            <w:pPr>
              <w:rPr>
                <w:rFonts w:hint="default" w:ascii="Times New Roman" w:hAnsi="Times New Roman" w:cs="Times New Roman"/>
                <w:highlight w:val="none"/>
              </w:rPr>
            </w:pPr>
          </w:p>
        </w:tc>
        <w:tc>
          <w:tcPr>
            <w:tcW w:w="1440" w:type="dxa"/>
            <w:noWrap w:val="0"/>
            <w:vAlign w:val="center"/>
          </w:tcPr>
          <w:p>
            <w:pPr>
              <w:rPr>
                <w:rFonts w:hint="default" w:ascii="Times New Roman" w:hAnsi="Times New Roman" w:cs="Times New Roman"/>
                <w:highlight w:val="none"/>
              </w:rPr>
            </w:pPr>
          </w:p>
        </w:tc>
        <w:tc>
          <w:tcPr>
            <w:tcW w:w="1226" w:type="dxa"/>
            <w:noWrap w:val="0"/>
            <w:vAlign w:val="center"/>
          </w:tcPr>
          <w:p>
            <w:pP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9400" w:type="dxa"/>
            <w:gridSpan w:val="5"/>
            <w:shd w:val="clear" w:color="auto" w:fill="FFFFFF"/>
            <w:noWrap w:val="0"/>
            <w:vAlign w:val="center"/>
          </w:tcPr>
          <w:p>
            <w:pPr>
              <w:keepNext w:val="0"/>
              <w:keepLines w:val="0"/>
              <w:widowControl/>
              <w:suppressLineNumbers w:val="0"/>
              <w:jc w:val="center"/>
              <w:textAlignment w:val="auto"/>
              <w:rPr>
                <w:rFonts w:hint="default" w:ascii="Times New Roman" w:hAnsi="Times New Roman" w:cs="Times New Roman"/>
                <w:highlight w:val="none"/>
              </w:rPr>
            </w:pPr>
            <w:r>
              <w:rPr>
                <w:rFonts w:hint="default" w:ascii="Times New Roman" w:hAnsi="Times New Roman" w:eastAsia="宋体" w:cs="Times New Roman"/>
                <w:b/>
                <w:i w:val="0"/>
                <w:color w:val="000000"/>
                <w:kern w:val="0"/>
                <w:sz w:val="20"/>
                <w:szCs w:val="20"/>
                <w:highlight w:val="none"/>
                <w:u w:val="none"/>
                <w:lang w:val="en-US" w:eastAsia="zh-CN" w:bidi="ar"/>
              </w:rPr>
              <w:t>2025年泽普县社会保险基金预算支出表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3" w:hRule="atLeast"/>
          <w:jc w:val="center"/>
        </w:trPr>
        <w:tc>
          <w:tcPr>
            <w:tcW w:w="1139" w:type="dxa"/>
            <w:shd w:val="clear" w:color="auto" w:fill="FFFFFF"/>
            <w:noWrap w:val="0"/>
            <w:vAlign w:val="center"/>
          </w:tcPr>
          <w:p>
            <w:pPr>
              <w:jc w:val="left"/>
              <w:rPr>
                <w:rFonts w:hint="default" w:ascii="Times New Roman" w:hAnsi="Times New Roman" w:cs="Times New Roman"/>
                <w:highlight w:val="none"/>
              </w:rPr>
            </w:pPr>
          </w:p>
        </w:tc>
        <w:tc>
          <w:tcPr>
            <w:tcW w:w="4125" w:type="dxa"/>
            <w:shd w:val="clear" w:color="auto" w:fill="FFFFFF"/>
            <w:noWrap w:val="0"/>
            <w:vAlign w:val="center"/>
          </w:tcPr>
          <w:p>
            <w:pPr>
              <w:jc w:val="left"/>
              <w:rPr>
                <w:rFonts w:hint="default" w:ascii="Times New Roman" w:hAnsi="Times New Roman" w:cs="Times New Roman"/>
                <w:highlight w:val="none"/>
              </w:rPr>
            </w:pPr>
          </w:p>
        </w:tc>
        <w:tc>
          <w:tcPr>
            <w:tcW w:w="4136" w:type="dxa"/>
            <w:gridSpan w:val="3"/>
            <w:shd w:val="clear" w:color="auto" w:fill="FFFFFF"/>
            <w:noWrap w:val="0"/>
            <w:vAlign w:val="center"/>
          </w:tcPr>
          <w:p>
            <w:pPr>
              <w:keepNext w:val="0"/>
              <w:keepLines w:val="0"/>
              <w:widowControl/>
              <w:suppressLineNumbers w:val="0"/>
              <w:jc w:val="righ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61" w:hRule="atLeast"/>
          <w:jc w:val="center"/>
        </w:trPr>
        <w:tc>
          <w:tcPr>
            <w:tcW w:w="113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0"/>
                <w:sz w:val="20"/>
                <w:szCs w:val="20"/>
                <w:highlight w:val="none"/>
                <w:u w:val="none"/>
                <w:lang w:val="en-US" w:eastAsia="zh-CN" w:bidi="ar"/>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41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0"/>
                <w:sz w:val="20"/>
                <w:szCs w:val="20"/>
                <w:highlight w:val="none"/>
                <w:u w:val="none"/>
                <w:lang w:val="en-US" w:eastAsia="zh-CN" w:bidi="ar"/>
              </w:rPr>
            </w:pPr>
            <w:r>
              <w:rPr>
                <w:rFonts w:hint="default" w:ascii="Times New Roman" w:hAnsi="Times New Roman" w:eastAsia="宋体" w:cs="Times New Roman"/>
                <w:b/>
                <w:bCs/>
                <w:i w:val="0"/>
                <w:color w:val="000000"/>
                <w:kern w:val="0"/>
                <w:sz w:val="20"/>
                <w:szCs w:val="20"/>
                <w:highlight w:val="none"/>
                <w:u w:val="none"/>
                <w:lang w:val="en-US" w:eastAsia="zh-CN" w:bidi="ar"/>
              </w:rPr>
              <w:t>项 目</w:t>
            </w:r>
          </w:p>
        </w:tc>
        <w:tc>
          <w:tcPr>
            <w:tcW w:w="14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r>
              <w:rPr>
                <w:rFonts w:hint="default" w:ascii="Times New Roman" w:hAnsi="Times New Roman" w:cs="Times New Roman"/>
                <w:b/>
                <w:bCs/>
                <w:i w:val="0"/>
                <w:color w:val="000000"/>
                <w:kern w:val="0"/>
                <w:sz w:val="20"/>
                <w:szCs w:val="20"/>
                <w:highlight w:val="none"/>
                <w:u w:val="none"/>
                <w:lang w:val="en-US" w:eastAsia="zh-CN" w:bidi="ar"/>
              </w:rPr>
              <w:t>2024</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w:t>
            </w:r>
          </w:p>
        </w:tc>
        <w:tc>
          <w:tcPr>
            <w:tcW w:w="14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2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r>
              <w:rPr>
                <w:rFonts w:hint="default" w:ascii="Times New Roman" w:hAnsi="Times New Roman" w:eastAsia="宋体" w:cs="Times New Roman"/>
                <w:b/>
                <w:bCs/>
                <w:i w:val="0"/>
                <w:color w:val="000000"/>
                <w:kern w:val="0"/>
                <w:sz w:val="18"/>
                <w:szCs w:val="18"/>
                <w:highlight w:val="none"/>
                <w:u w:val="none"/>
                <w:lang w:val="en-US" w:eastAsia="zh-CN" w:bidi="ar"/>
              </w:rPr>
              <w:t>预算数为上</w:t>
            </w:r>
            <w:r>
              <w:rPr>
                <w:rFonts w:hint="default" w:ascii="Times New Roman" w:hAnsi="Times New Roman" w:cs="Times New Roman"/>
                <w:b/>
                <w:bCs/>
                <w:i w:val="0"/>
                <w:color w:val="000000"/>
                <w:kern w:val="0"/>
                <w:sz w:val="18"/>
                <w:szCs w:val="18"/>
                <w:highlight w:val="none"/>
                <w:u w:val="none"/>
                <w:lang w:val="en-US" w:eastAsia="zh-CN" w:bidi="ar"/>
              </w:rPr>
              <w:t>年</w:t>
            </w:r>
            <w:r>
              <w:rPr>
                <w:rFonts w:hint="default" w:ascii="Times New Roman" w:hAnsi="Times New Roman" w:eastAsia="宋体" w:cs="Times New Roman"/>
                <w:b/>
                <w:bCs/>
                <w:i w:val="0"/>
                <w:color w:val="000000"/>
                <w:kern w:val="0"/>
                <w:sz w:val="18"/>
                <w:szCs w:val="18"/>
                <w:highlight w:val="none"/>
                <w:u w:val="none"/>
                <w:lang w:val="en-US" w:eastAsia="zh-Hans" w:bidi="ar"/>
              </w:rPr>
              <w:t>完成</w:t>
            </w:r>
            <w:r>
              <w:rPr>
                <w:rFonts w:hint="default" w:ascii="Times New Roman" w:hAnsi="Times New Roman" w:eastAsia="宋体" w:cs="Times New Roman"/>
                <w:b/>
                <w:bCs/>
                <w:i w:val="0"/>
                <w:color w:val="000000"/>
                <w:kern w:val="0"/>
                <w:sz w:val="18"/>
                <w:szCs w:val="18"/>
                <w:highlight w:val="none"/>
                <w:u w:val="none"/>
                <w:lang w:val="en-US" w:eastAsia="zh-CN" w:bidi="ar"/>
              </w:rPr>
              <w:t>数的%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139" w:type="dxa"/>
            <w:vMerge w:val="restart"/>
            <w:tcBorders>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w:t>
            </w:r>
          </w:p>
        </w:tc>
        <w:tc>
          <w:tcPr>
            <w:tcW w:w="4125" w:type="dxa"/>
            <w:vMerge w:val="restart"/>
            <w:tcBorders>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社会保险基金支出合计</w:t>
            </w:r>
          </w:p>
        </w:tc>
        <w:tc>
          <w:tcPr>
            <w:tcW w:w="1470" w:type="dxa"/>
            <w:vMerge w:val="restart"/>
            <w:tcBorders>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r>
              <w:rPr>
                <w:rFonts w:hint="default" w:ascii="Times New Roman" w:hAnsi="Times New Roman" w:eastAsia="宋体" w:cs="Times New Roman"/>
                <w:i w:val="0"/>
                <w:iCs w:val="0"/>
                <w:color w:val="000000"/>
                <w:kern w:val="0"/>
                <w:sz w:val="21"/>
                <w:szCs w:val="21"/>
                <w:u w:val="none"/>
                <w:lang w:val="en-US" w:eastAsia="zh-CN" w:bidi="ar"/>
              </w:rPr>
              <w:t>3912.23</w:t>
            </w:r>
          </w:p>
        </w:tc>
        <w:tc>
          <w:tcPr>
            <w:tcW w:w="1440" w:type="dxa"/>
            <w:vMerge w:val="restart"/>
            <w:tcBorders>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r>
              <w:rPr>
                <w:rFonts w:hint="default" w:ascii="Times New Roman" w:hAnsi="Times New Roman" w:eastAsia="宋体" w:cs="Times New Roman"/>
                <w:i w:val="0"/>
                <w:iCs w:val="0"/>
                <w:color w:val="000000"/>
                <w:kern w:val="0"/>
                <w:sz w:val="21"/>
                <w:szCs w:val="21"/>
                <w:u w:val="none"/>
                <w:lang w:val="en-US" w:eastAsia="zh-CN" w:bidi="ar"/>
              </w:rPr>
              <w:t>4478.45</w:t>
            </w:r>
          </w:p>
        </w:tc>
        <w:tc>
          <w:tcPr>
            <w:tcW w:w="1226" w:type="dxa"/>
            <w:vMerge w:val="restart"/>
            <w:tcBorders>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r>
              <w:rPr>
                <w:rFonts w:hint="default" w:ascii="Times New Roman" w:hAnsi="Times New Roman" w:eastAsia="宋体" w:cs="Times New Roman"/>
                <w:i w:val="0"/>
                <w:iCs w:val="0"/>
                <w:color w:val="000000"/>
                <w:kern w:val="0"/>
                <w:sz w:val="21"/>
                <w:szCs w:val="21"/>
                <w:u w:val="none"/>
                <w:lang w:val="en-US" w:eastAsia="zh-CN" w:bidi="ar"/>
              </w:rPr>
              <w:t>14.47%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139" w:type="dxa"/>
            <w:vMerge w:val="continue"/>
            <w:tcBorders>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4125" w:type="dxa"/>
            <w:vMerge w:val="continue"/>
            <w:tcBorders>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c>
          <w:tcPr>
            <w:tcW w:w="1470" w:type="dxa"/>
            <w:vMerge w:val="continue"/>
            <w:tcBorders>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c>
          <w:tcPr>
            <w:tcW w:w="1440" w:type="dxa"/>
            <w:vMerge w:val="continue"/>
            <w:tcBorders>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c>
          <w:tcPr>
            <w:tcW w:w="1226" w:type="dxa"/>
            <w:vMerge w:val="continue"/>
            <w:tcBorders>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139"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20901</w:t>
            </w:r>
          </w:p>
        </w:tc>
        <w:tc>
          <w:tcPr>
            <w:tcW w:w="4125"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一、企业职工基本养老保险基金支出</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p>
        </w:tc>
        <w:tc>
          <w:tcPr>
            <w:tcW w:w="1226"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4125" w:type="dxa"/>
            <w:vMerge w:val="continue"/>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c>
          <w:tcPr>
            <w:tcW w:w="122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139"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2090101</w:t>
            </w:r>
          </w:p>
        </w:tc>
        <w:tc>
          <w:tcPr>
            <w:tcW w:w="4125"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 xml:space="preserve">  其中:基本养老金</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p>
        </w:tc>
        <w:tc>
          <w:tcPr>
            <w:tcW w:w="1226"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4125" w:type="dxa"/>
            <w:vMerge w:val="continue"/>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c>
          <w:tcPr>
            <w:tcW w:w="122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139"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20911</w:t>
            </w:r>
          </w:p>
        </w:tc>
        <w:tc>
          <w:tcPr>
            <w:tcW w:w="4125"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二、机关事业基本养老保险基金支出</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p>
        </w:tc>
        <w:tc>
          <w:tcPr>
            <w:tcW w:w="1226"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2" w:hRule="exact"/>
          <w:jc w:val="center"/>
        </w:trPr>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4125" w:type="dxa"/>
            <w:vMerge w:val="continue"/>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c>
          <w:tcPr>
            <w:tcW w:w="122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139"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2091101</w:t>
            </w:r>
          </w:p>
        </w:tc>
        <w:tc>
          <w:tcPr>
            <w:tcW w:w="4125"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 xml:space="preserve">  其中:基本养老金支出</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p>
        </w:tc>
        <w:tc>
          <w:tcPr>
            <w:tcW w:w="1226"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4125" w:type="dxa"/>
            <w:vMerge w:val="continue"/>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c>
          <w:tcPr>
            <w:tcW w:w="122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139"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20910</w:t>
            </w:r>
          </w:p>
        </w:tc>
        <w:tc>
          <w:tcPr>
            <w:tcW w:w="4125"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三、城乡居民基本养老保险基金支出</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r>
              <w:rPr>
                <w:rFonts w:hint="default" w:ascii="Times New Roman" w:hAnsi="Times New Roman" w:eastAsia="宋体" w:cs="Times New Roman"/>
                <w:i w:val="0"/>
                <w:iCs w:val="0"/>
                <w:color w:val="000000"/>
                <w:kern w:val="0"/>
                <w:sz w:val="21"/>
                <w:szCs w:val="21"/>
                <w:u w:val="none"/>
                <w:lang w:val="en-US" w:eastAsia="zh-CN" w:bidi="ar"/>
              </w:rPr>
              <w:t>3912.23</w:t>
            </w: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r>
              <w:rPr>
                <w:rFonts w:hint="default" w:ascii="Times New Roman" w:hAnsi="Times New Roman" w:eastAsia="宋体" w:cs="Times New Roman"/>
                <w:i w:val="0"/>
                <w:iCs w:val="0"/>
                <w:color w:val="000000"/>
                <w:kern w:val="0"/>
                <w:sz w:val="21"/>
                <w:szCs w:val="21"/>
                <w:u w:val="none"/>
                <w:lang w:val="en-US" w:eastAsia="zh-CN" w:bidi="ar"/>
              </w:rPr>
              <w:t>4478.45</w:t>
            </w:r>
          </w:p>
        </w:tc>
        <w:tc>
          <w:tcPr>
            <w:tcW w:w="1226"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r>
              <w:rPr>
                <w:rFonts w:hint="default" w:ascii="Times New Roman" w:hAnsi="Times New Roman" w:eastAsia="宋体" w:cs="Times New Roman"/>
                <w:i w:val="0"/>
                <w:iCs w:val="0"/>
                <w:color w:val="000000"/>
                <w:kern w:val="0"/>
                <w:sz w:val="21"/>
                <w:szCs w:val="21"/>
                <w:u w:val="none"/>
                <w:lang w:val="en-US" w:eastAsia="zh-CN" w:bidi="ar"/>
              </w:rPr>
              <w:t>14.47%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4125" w:type="dxa"/>
            <w:vMerge w:val="continue"/>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c>
          <w:tcPr>
            <w:tcW w:w="122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139"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2091001</w:t>
            </w:r>
          </w:p>
        </w:tc>
        <w:tc>
          <w:tcPr>
            <w:tcW w:w="4125"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 xml:space="preserve">  其中:基础养老金支出</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r>
              <w:rPr>
                <w:rFonts w:hint="default" w:ascii="Times New Roman" w:hAnsi="Times New Roman" w:eastAsia="宋体" w:cs="Times New Roman"/>
                <w:i w:val="0"/>
                <w:iCs w:val="0"/>
                <w:color w:val="000000"/>
                <w:kern w:val="0"/>
                <w:sz w:val="21"/>
                <w:szCs w:val="21"/>
                <w:u w:val="none"/>
                <w:lang w:val="en-US" w:eastAsia="zh-CN" w:bidi="ar"/>
              </w:rPr>
              <w:t>3882.93</w:t>
            </w: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r>
              <w:rPr>
                <w:rFonts w:hint="default" w:ascii="Times New Roman" w:hAnsi="Times New Roman" w:eastAsia="宋体" w:cs="Times New Roman"/>
                <w:i w:val="0"/>
                <w:iCs w:val="0"/>
                <w:color w:val="000000"/>
                <w:kern w:val="0"/>
                <w:sz w:val="21"/>
                <w:szCs w:val="21"/>
                <w:u w:val="none"/>
                <w:lang w:val="en-US" w:eastAsia="zh-CN" w:bidi="ar"/>
              </w:rPr>
              <w:t>4448.7</w:t>
            </w:r>
          </w:p>
        </w:tc>
        <w:tc>
          <w:tcPr>
            <w:tcW w:w="1226"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r>
              <w:rPr>
                <w:rFonts w:hint="default" w:ascii="Times New Roman" w:hAnsi="Times New Roman" w:eastAsia="宋体" w:cs="Times New Roman"/>
                <w:i w:val="0"/>
                <w:iCs w:val="0"/>
                <w:color w:val="000000"/>
                <w:kern w:val="0"/>
                <w:sz w:val="21"/>
                <w:szCs w:val="21"/>
                <w:u w:val="none"/>
                <w:lang w:val="en-US" w:eastAsia="zh-CN" w:bidi="ar"/>
              </w:rPr>
              <w:t>14.57%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4125" w:type="dxa"/>
            <w:vMerge w:val="continue"/>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122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139"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20903</w:t>
            </w:r>
          </w:p>
        </w:tc>
        <w:tc>
          <w:tcPr>
            <w:tcW w:w="4125"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四、职工基本医疗保险基金支出</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p>
        </w:tc>
        <w:tc>
          <w:tcPr>
            <w:tcW w:w="1226"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4125" w:type="dxa"/>
            <w:vMerge w:val="continue"/>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c>
          <w:tcPr>
            <w:tcW w:w="122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139"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2090301</w:t>
            </w:r>
          </w:p>
        </w:tc>
        <w:tc>
          <w:tcPr>
            <w:tcW w:w="4125"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 xml:space="preserve">  其中:职工基本医疗保险统筹基金</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p>
        </w:tc>
        <w:tc>
          <w:tcPr>
            <w:tcW w:w="1226"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2" w:hRule="exact"/>
          <w:jc w:val="center"/>
        </w:trPr>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4125" w:type="dxa"/>
            <w:vMerge w:val="continue"/>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c>
          <w:tcPr>
            <w:tcW w:w="122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139"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2090302</w:t>
            </w:r>
          </w:p>
        </w:tc>
        <w:tc>
          <w:tcPr>
            <w:tcW w:w="4125"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 xml:space="preserve">  职工基本医疗保险个人账户基金</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p>
        </w:tc>
        <w:tc>
          <w:tcPr>
            <w:tcW w:w="1226"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4125" w:type="dxa"/>
            <w:vMerge w:val="continue"/>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c>
          <w:tcPr>
            <w:tcW w:w="122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139"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20912</w:t>
            </w:r>
          </w:p>
        </w:tc>
        <w:tc>
          <w:tcPr>
            <w:tcW w:w="4125" w:type="dxa"/>
            <w:vMerge w:val="restart"/>
            <w:tcBorders>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五、城乡居民基本医疗保险基金支出</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p>
        </w:tc>
        <w:tc>
          <w:tcPr>
            <w:tcW w:w="1226"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4125" w:type="dxa"/>
            <w:vMerge w:val="continue"/>
            <w:tcBorders>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c>
          <w:tcPr>
            <w:tcW w:w="122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139"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2091201</w:t>
            </w:r>
          </w:p>
        </w:tc>
        <w:tc>
          <w:tcPr>
            <w:tcW w:w="4125"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 xml:space="preserve">  其中:城乡居民基本医疗保险基金医疗待遇支出</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p>
        </w:tc>
        <w:tc>
          <w:tcPr>
            <w:tcW w:w="1226"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2" w:hRule="exact"/>
          <w:jc w:val="center"/>
        </w:trPr>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4125" w:type="dxa"/>
            <w:vMerge w:val="continue"/>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c>
          <w:tcPr>
            <w:tcW w:w="122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139"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2091202</w:t>
            </w:r>
          </w:p>
        </w:tc>
        <w:tc>
          <w:tcPr>
            <w:tcW w:w="4125"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 xml:space="preserve">  城乡居民大病保险支出</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p>
        </w:tc>
        <w:tc>
          <w:tcPr>
            <w:tcW w:w="1226"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4125" w:type="dxa"/>
            <w:vMerge w:val="continue"/>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c>
          <w:tcPr>
            <w:tcW w:w="122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139"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20904</w:t>
            </w:r>
          </w:p>
        </w:tc>
        <w:tc>
          <w:tcPr>
            <w:tcW w:w="4125"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六、工伤保险基金支出</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p>
        </w:tc>
        <w:tc>
          <w:tcPr>
            <w:tcW w:w="1226"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4125" w:type="dxa"/>
            <w:vMerge w:val="continue"/>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c>
          <w:tcPr>
            <w:tcW w:w="122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139"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2090401</w:t>
            </w:r>
          </w:p>
        </w:tc>
        <w:tc>
          <w:tcPr>
            <w:tcW w:w="4125"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 xml:space="preserve">  其中:工伤保险待遇</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p>
        </w:tc>
        <w:tc>
          <w:tcPr>
            <w:tcW w:w="1226"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4125" w:type="dxa"/>
            <w:vMerge w:val="continue"/>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c>
          <w:tcPr>
            <w:tcW w:w="122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139"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20902</w:t>
            </w:r>
          </w:p>
        </w:tc>
        <w:tc>
          <w:tcPr>
            <w:tcW w:w="4125"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七、失业保险基金支出</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p>
        </w:tc>
        <w:tc>
          <w:tcPr>
            <w:tcW w:w="1226"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4125" w:type="dxa"/>
            <w:vMerge w:val="continue"/>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c>
          <w:tcPr>
            <w:tcW w:w="122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139"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2090201</w:t>
            </w:r>
          </w:p>
        </w:tc>
        <w:tc>
          <w:tcPr>
            <w:tcW w:w="4125"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 xml:space="preserve">  其中:失业保险金</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p>
        </w:tc>
        <w:tc>
          <w:tcPr>
            <w:tcW w:w="1226"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4" w:hRule="exact"/>
          <w:jc w:val="center"/>
        </w:trPr>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125" w:type="dxa"/>
            <w:vMerge w:val="continue"/>
            <w:tcBorders>
              <w:top w:val="single" w:color="000000" w:sz="4" w:space="0"/>
              <w:bottom w:val="single" w:color="000000" w:sz="4" w:space="0"/>
              <w:right w:val="single" w:color="000000" w:sz="4" w:space="0"/>
            </w:tcBorders>
            <w:shd w:val="clear" w:color="auto" w:fill="auto"/>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22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125" w:type="dxa"/>
            <w:vMerge w:val="continue"/>
            <w:tcBorders>
              <w:top w:val="single" w:color="000000" w:sz="4" w:space="0"/>
              <w:bottom w:val="single" w:color="000000" w:sz="4" w:space="0"/>
              <w:right w:val="single" w:color="000000" w:sz="4" w:space="0"/>
            </w:tcBorders>
            <w:shd w:val="clear" w:color="auto" w:fill="auto"/>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22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bl>
    <w:tbl>
      <w:tblPr>
        <w:tblStyle w:val="8"/>
        <w:tblpPr w:leftFromText="180" w:rightFromText="180" w:vertAnchor="text" w:horzAnchor="page" w:tblpXSpec="center" w:tblpY="284"/>
        <w:tblOverlap w:val="never"/>
        <w:tblW w:w="94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1094"/>
        <w:gridCol w:w="3626"/>
        <w:gridCol w:w="1620"/>
        <w:gridCol w:w="1730"/>
        <w:gridCol w:w="13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9400" w:type="dxa"/>
            <w:gridSpan w:val="5"/>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b w:val="0"/>
                <w:bCs w:val="0"/>
                <w:i w:val="0"/>
                <w:color w:val="000000"/>
                <w:kern w:val="0"/>
                <w:sz w:val="20"/>
                <w:szCs w:val="20"/>
                <w:highlight w:val="none"/>
                <w:u w:val="none"/>
                <w:lang w:val="en-US" w:eastAsia="zh-Hans" w:bidi="ar"/>
              </w:rPr>
            </w:pPr>
            <w:r>
              <w:rPr>
                <w:rFonts w:hint="default" w:ascii="Times New Roman" w:hAnsi="Times New Roman" w:cs="Times New Roman"/>
                <w:b w:val="0"/>
                <w:bCs w:val="0"/>
                <w:i w:val="0"/>
                <w:color w:val="000000"/>
                <w:kern w:val="0"/>
                <w:sz w:val="20"/>
                <w:szCs w:val="20"/>
                <w:highlight w:val="none"/>
                <w:u w:val="none"/>
                <w:lang w:val="en-US" w:eastAsia="zh-Hans" w:bidi="ar"/>
              </w:rPr>
              <w:t>表</w:t>
            </w:r>
            <w:r>
              <w:rPr>
                <w:rFonts w:hint="default" w:ascii="Times New Roman" w:hAnsi="Times New Roman" w:cs="Times New Roman"/>
                <w:b w:val="0"/>
                <w:bCs w:val="0"/>
                <w:i w:val="0"/>
                <w:color w:val="000000"/>
                <w:kern w:val="0"/>
                <w:sz w:val="20"/>
                <w:szCs w:val="20"/>
                <w:highlight w:val="none"/>
                <w:u w:val="none"/>
                <w:lang w:eastAsia="zh-Hans" w:bidi="ar"/>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9400" w:type="dxa"/>
            <w:gridSpan w:val="5"/>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2025</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cs="Times New Roman"/>
                <w:b/>
                <w:i w:val="0"/>
                <w:color w:val="000000"/>
                <w:kern w:val="0"/>
                <w:sz w:val="20"/>
                <w:szCs w:val="20"/>
                <w:highlight w:val="none"/>
                <w:u w:val="none"/>
                <w:lang w:val="en-US" w:eastAsia="zh-CN" w:bidi="ar"/>
              </w:rPr>
              <w:t>泽普县</w:t>
            </w:r>
            <w:r>
              <w:rPr>
                <w:rFonts w:hint="default" w:ascii="Times New Roman" w:hAnsi="Times New Roman" w:eastAsia="宋体" w:cs="Times New Roman"/>
                <w:b/>
                <w:i w:val="0"/>
                <w:color w:val="000000"/>
                <w:kern w:val="0"/>
                <w:sz w:val="20"/>
                <w:szCs w:val="20"/>
                <w:highlight w:val="none"/>
                <w:u w:val="none"/>
                <w:lang w:val="en-US" w:eastAsia="zh-CN" w:bidi="ar"/>
              </w:rPr>
              <w:t>社会保险基金预算</w:t>
            </w:r>
            <w:r>
              <w:rPr>
                <w:rFonts w:hint="default" w:ascii="Times New Roman" w:hAnsi="Times New Roman" w:cs="Times New Roman"/>
                <w:b/>
                <w:i w:val="0"/>
                <w:color w:val="000000"/>
                <w:kern w:val="0"/>
                <w:sz w:val="20"/>
                <w:szCs w:val="20"/>
                <w:highlight w:val="none"/>
                <w:u w:val="none"/>
                <w:lang w:val="en-US" w:eastAsia="zh-CN" w:bidi="ar"/>
              </w:rPr>
              <w:t>结余</w:t>
            </w:r>
            <w:r>
              <w:rPr>
                <w:rFonts w:hint="default" w:ascii="Times New Roman" w:hAnsi="Times New Roman" w:eastAsia="宋体" w:cs="Times New Roman"/>
                <w:b/>
                <w:i w:val="0"/>
                <w:color w:val="000000"/>
                <w:kern w:val="0"/>
                <w:sz w:val="20"/>
                <w:szCs w:val="20"/>
                <w:highlight w:val="none"/>
                <w:u w:val="none"/>
                <w:lang w:val="en-US" w:eastAsia="zh-CN" w:bidi="ar"/>
              </w:rPr>
              <w:t>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5" w:hRule="atLeast"/>
          <w:jc w:val="center"/>
        </w:trPr>
        <w:tc>
          <w:tcPr>
            <w:tcW w:w="1094" w:type="dxa"/>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626" w:type="dxa"/>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620" w:type="dxa"/>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730" w:type="dxa"/>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30" w:type="dxa"/>
            <w:shd w:val="clear" w:color="auto"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2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36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 目</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2024</w:t>
            </w:r>
            <w:r>
              <w:rPr>
                <w:rFonts w:hint="default" w:ascii="Times New Roman" w:hAnsi="Times New Roman" w:eastAsia="宋体" w:cs="Times New Roman"/>
                <w:b/>
                <w:bCs/>
                <w:i w:val="0"/>
                <w:color w:val="000000"/>
                <w:kern w:val="0"/>
                <w:sz w:val="20"/>
                <w:szCs w:val="20"/>
                <w:highlight w:val="none"/>
                <w:u w:val="none"/>
                <w:lang w:val="en-US" w:eastAsia="zh-CN" w:bidi="ar"/>
              </w:rPr>
              <w:t>年年末累计结余预计数</w:t>
            </w:r>
          </w:p>
        </w:tc>
        <w:tc>
          <w:tcPr>
            <w:tcW w:w="17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年年末累计结余预算数</w:t>
            </w:r>
          </w:p>
        </w:tc>
        <w:tc>
          <w:tcPr>
            <w:tcW w:w="13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预算数为上年预计数的%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1094" w:type="dxa"/>
            <w:vMerge w:val="restart"/>
            <w:tcBorders>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rPr>
            </w:pPr>
            <w:r>
              <w:rPr>
                <w:rFonts w:hint="default" w:ascii="Times New Roman" w:hAnsi="Times New Roman" w:eastAsia="宋体" w:cs="Times New Roman"/>
                <w:i w:val="0"/>
                <w:color w:val="000000"/>
                <w:kern w:val="0"/>
                <w:sz w:val="20"/>
                <w:szCs w:val="20"/>
                <w:highlight w:val="none"/>
                <w:u w:val="none"/>
                <w:lang w:val="en-US" w:eastAsia="zh-CN" w:bidi="ar"/>
              </w:rPr>
              <w:t>2</w:t>
            </w:r>
            <w:r>
              <w:rPr>
                <w:rFonts w:hint="default" w:ascii="Times New Roman" w:hAnsi="Times New Roman" w:cs="Times New Roman"/>
                <w:i w:val="0"/>
                <w:color w:val="000000"/>
                <w:kern w:val="0"/>
                <w:sz w:val="20"/>
                <w:szCs w:val="20"/>
                <w:highlight w:val="none"/>
                <w:u w:val="none"/>
                <w:lang w:val="en-US" w:eastAsia="zh-CN" w:bidi="ar"/>
              </w:rPr>
              <w:t>3009</w:t>
            </w:r>
          </w:p>
        </w:tc>
        <w:tc>
          <w:tcPr>
            <w:tcW w:w="3626" w:type="dxa"/>
            <w:vMerge w:val="restart"/>
            <w:tcBorders>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社会保险基金</w:t>
            </w:r>
            <w:r>
              <w:rPr>
                <w:rFonts w:hint="default" w:ascii="Times New Roman" w:hAnsi="Times New Roman" w:cs="Times New Roman"/>
                <w:i w:val="0"/>
                <w:color w:val="000000"/>
                <w:kern w:val="0"/>
                <w:sz w:val="20"/>
                <w:szCs w:val="20"/>
                <w:highlight w:val="none"/>
                <w:u w:val="none"/>
                <w:lang w:val="en-US" w:eastAsia="zh-CN" w:bidi="ar"/>
              </w:rPr>
              <w:t>年终结余</w:t>
            </w:r>
            <w:r>
              <w:rPr>
                <w:rFonts w:hint="default" w:ascii="Times New Roman" w:hAnsi="Times New Roman" w:eastAsia="宋体" w:cs="Times New Roman"/>
                <w:i w:val="0"/>
                <w:color w:val="000000"/>
                <w:kern w:val="0"/>
                <w:sz w:val="20"/>
                <w:szCs w:val="20"/>
                <w:highlight w:val="none"/>
                <w:u w:val="none"/>
                <w:lang w:val="en-US" w:eastAsia="zh-CN" w:bidi="ar"/>
              </w:rPr>
              <w:t>合计</w:t>
            </w:r>
          </w:p>
        </w:tc>
        <w:tc>
          <w:tcPr>
            <w:tcW w:w="1620" w:type="dxa"/>
            <w:vMerge w:val="restart"/>
            <w:tcBorders>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23770.17</w:t>
            </w:r>
          </w:p>
        </w:tc>
        <w:tc>
          <w:tcPr>
            <w:tcW w:w="1730" w:type="dxa"/>
            <w:vMerge w:val="restart"/>
            <w:tcBorders>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26337.72</w:t>
            </w:r>
          </w:p>
        </w:tc>
        <w:tc>
          <w:tcPr>
            <w:tcW w:w="1330" w:type="dxa"/>
            <w:vMerge w:val="restart"/>
            <w:tcBorders>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10.80%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jc w:val="center"/>
        </w:trPr>
        <w:tc>
          <w:tcPr>
            <w:tcW w:w="1094" w:type="dxa"/>
            <w:vMerge w:val="continue"/>
            <w:tcBorders>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3626" w:type="dxa"/>
            <w:vMerge w:val="continue"/>
            <w:tcBorders>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620" w:type="dxa"/>
            <w:vMerge w:val="continue"/>
            <w:tcBorders>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730" w:type="dxa"/>
            <w:vMerge w:val="continue"/>
            <w:tcBorders>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30" w:type="dxa"/>
            <w:vMerge w:val="continue"/>
            <w:tcBorders>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109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2300911</w:t>
            </w:r>
          </w:p>
        </w:tc>
        <w:tc>
          <w:tcPr>
            <w:tcW w:w="3626"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一、企业职工基本养老保险基金</w:t>
            </w:r>
            <w:r>
              <w:rPr>
                <w:rFonts w:hint="default" w:ascii="Times New Roman" w:hAnsi="Times New Roman" w:cs="Times New Roman"/>
                <w:i w:val="0"/>
                <w:color w:val="000000"/>
                <w:kern w:val="0"/>
                <w:sz w:val="20"/>
                <w:szCs w:val="20"/>
                <w:highlight w:val="none"/>
                <w:u w:val="none"/>
                <w:lang w:val="en-US" w:eastAsia="zh-CN" w:bidi="ar"/>
              </w:rPr>
              <w:t>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jc w:val="center"/>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3626"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109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2300916</w:t>
            </w:r>
          </w:p>
        </w:tc>
        <w:tc>
          <w:tcPr>
            <w:tcW w:w="3626"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二、机关事业基本养老保险基金</w:t>
            </w:r>
            <w:r>
              <w:rPr>
                <w:rFonts w:hint="default" w:ascii="Times New Roman" w:hAnsi="Times New Roman" w:cs="Times New Roman"/>
                <w:i w:val="0"/>
                <w:color w:val="000000"/>
                <w:kern w:val="0"/>
                <w:sz w:val="20"/>
                <w:szCs w:val="20"/>
                <w:highlight w:val="none"/>
                <w:u w:val="none"/>
                <w:lang w:val="en-US" w:eastAsia="zh-CN" w:bidi="ar"/>
              </w:rPr>
              <w:t>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jc w:val="center"/>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3626"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109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2300915</w:t>
            </w:r>
          </w:p>
        </w:tc>
        <w:tc>
          <w:tcPr>
            <w:tcW w:w="3626"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三</w:t>
            </w:r>
            <w:r>
              <w:rPr>
                <w:rFonts w:hint="default" w:ascii="Times New Roman" w:hAnsi="Times New Roman" w:eastAsia="宋体" w:cs="Times New Roman"/>
                <w:i w:val="0"/>
                <w:color w:val="000000"/>
                <w:kern w:val="0"/>
                <w:sz w:val="20"/>
                <w:szCs w:val="20"/>
                <w:highlight w:val="none"/>
                <w:u w:val="none"/>
                <w:lang w:val="en-US" w:eastAsia="zh-CN" w:bidi="ar"/>
              </w:rPr>
              <w:t>、</w:t>
            </w:r>
            <w:r>
              <w:rPr>
                <w:rFonts w:hint="default" w:ascii="Times New Roman" w:hAnsi="Times New Roman" w:cs="Times New Roman"/>
                <w:i w:val="0"/>
                <w:color w:val="000000"/>
                <w:kern w:val="0"/>
                <w:sz w:val="20"/>
                <w:szCs w:val="20"/>
                <w:highlight w:val="none"/>
                <w:u w:val="none"/>
                <w:lang w:val="en-US" w:eastAsia="zh-CN" w:bidi="ar"/>
              </w:rPr>
              <w:t>城乡居民</w:t>
            </w:r>
            <w:r>
              <w:rPr>
                <w:rFonts w:hint="default" w:ascii="Times New Roman" w:hAnsi="Times New Roman" w:eastAsia="宋体" w:cs="Times New Roman"/>
                <w:i w:val="0"/>
                <w:color w:val="000000"/>
                <w:kern w:val="0"/>
                <w:sz w:val="20"/>
                <w:szCs w:val="20"/>
                <w:highlight w:val="none"/>
                <w:u w:val="none"/>
                <w:lang w:val="en-US" w:eastAsia="zh-CN" w:bidi="ar"/>
              </w:rPr>
              <w:t>基本养老保险基金</w:t>
            </w:r>
            <w:r>
              <w:rPr>
                <w:rFonts w:hint="default" w:ascii="Times New Roman" w:hAnsi="Times New Roman" w:cs="Times New Roman"/>
                <w:i w:val="0"/>
                <w:color w:val="000000"/>
                <w:kern w:val="0"/>
                <w:sz w:val="20"/>
                <w:szCs w:val="20"/>
                <w:highlight w:val="none"/>
                <w:u w:val="none"/>
                <w:lang w:val="en-US" w:eastAsia="zh-CN" w:bidi="ar"/>
              </w:rPr>
              <w:t>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23770.17</w:t>
            </w: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26337.72</w:t>
            </w: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10.80%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jc w:val="center"/>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3626"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109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2300913</w:t>
            </w:r>
          </w:p>
        </w:tc>
        <w:tc>
          <w:tcPr>
            <w:tcW w:w="3626"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eastAsia="zh-CN"/>
              </w:rPr>
            </w:pPr>
            <w:r>
              <w:rPr>
                <w:rFonts w:hint="default" w:ascii="Times New Roman" w:hAnsi="Times New Roman" w:cs="Times New Roman"/>
                <w:i w:val="0"/>
                <w:color w:val="000000"/>
                <w:sz w:val="20"/>
                <w:szCs w:val="20"/>
                <w:highlight w:val="none"/>
                <w:u w:val="none"/>
                <w:lang w:eastAsia="zh-CN"/>
              </w:rPr>
              <w:t>四、职工基本医疗保险基金年终结余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jc w:val="center"/>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3626"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2300917</w:t>
            </w:r>
          </w:p>
        </w:tc>
        <w:tc>
          <w:tcPr>
            <w:tcW w:w="3626" w:type="dxa"/>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五、城乡居民基本医疗保险基金年终结余</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7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109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2300914</w:t>
            </w:r>
          </w:p>
        </w:tc>
        <w:tc>
          <w:tcPr>
            <w:tcW w:w="3626"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六</w:t>
            </w:r>
            <w:r>
              <w:rPr>
                <w:rFonts w:hint="default" w:ascii="Times New Roman" w:hAnsi="Times New Roman" w:eastAsia="宋体" w:cs="Times New Roman"/>
                <w:i w:val="0"/>
                <w:color w:val="000000"/>
                <w:kern w:val="0"/>
                <w:sz w:val="20"/>
                <w:szCs w:val="20"/>
                <w:highlight w:val="none"/>
                <w:u w:val="none"/>
                <w:lang w:val="en-US" w:eastAsia="zh-CN" w:bidi="ar"/>
              </w:rPr>
              <w:t>、</w:t>
            </w:r>
            <w:r>
              <w:rPr>
                <w:rFonts w:hint="default" w:ascii="Times New Roman" w:hAnsi="Times New Roman" w:cs="Times New Roman"/>
                <w:i w:val="0"/>
                <w:color w:val="000000"/>
                <w:kern w:val="0"/>
                <w:sz w:val="20"/>
                <w:szCs w:val="20"/>
                <w:highlight w:val="none"/>
                <w:u w:val="none"/>
                <w:lang w:val="en-US" w:eastAsia="zh-CN" w:bidi="ar"/>
              </w:rPr>
              <w:t>工伤保险基金年终结余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jc w:val="center"/>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3626"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01"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2300912</w:t>
            </w:r>
          </w:p>
        </w:tc>
        <w:tc>
          <w:tcPr>
            <w:tcW w:w="3626" w:type="dxa"/>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eastAsia="zh-CN"/>
              </w:rPr>
            </w:pPr>
            <w:r>
              <w:rPr>
                <w:rFonts w:hint="default" w:ascii="Times New Roman" w:hAnsi="Times New Roman" w:cs="Times New Roman"/>
                <w:i w:val="0"/>
                <w:color w:val="000000"/>
                <w:sz w:val="20"/>
                <w:szCs w:val="20"/>
                <w:highlight w:val="none"/>
                <w:u w:val="none"/>
                <w:lang w:eastAsia="zh-CN"/>
              </w:rPr>
              <w:t>七、失业保险基金年终结余</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p>
        </w:tc>
        <w:tc>
          <w:tcPr>
            <w:tcW w:w="17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p>
        </w:tc>
        <w:tc>
          <w:tcPr>
            <w:tcW w:w="13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p>
        </w:tc>
      </w:tr>
    </w:tbl>
    <w:p>
      <w:pPr>
        <w:pStyle w:val="2"/>
        <w:ind w:left="0" w:leftChars="0" w:firstLine="0" w:firstLineChars="0"/>
        <w:rPr>
          <w:rFonts w:hint="default"/>
          <w:lang w:eastAsia="zh-Hans"/>
        </w:rPr>
      </w:pPr>
    </w:p>
    <w:tbl>
      <w:tblPr>
        <w:tblStyle w:val="8"/>
        <w:tblW w:w="90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37"/>
        <w:gridCol w:w="3435"/>
        <w:gridCol w:w="1560"/>
        <w:gridCol w:w="1470"/>
        <w:gridCol w:w="14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137"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表24</w:t>
            </w:r>
          </w:p>
        </w:tc>
        <w:tc>
          <w:tcPr>
            <w:tcW w:w="3435" w:type="dxa"/>
            <w:tcBorders>
              <w:top w:val="nil"/>
              <w:left w:val="nil"/>
              <w:bottom w:val="nil"/>
              <w:right w:val="nil"/>
            </w:tcBorders>
            <w:shd w:val="clear" w:color="auto" w:fill="auto"/>
            <w:vAlign w:val="bottom"/>
          </w:tcPr>
          <w:p>
            <w:pPr>
              <w:jc w:val="both"/>
              <w:rPr>
                <w:rFonts w:hint="default" w:ascii="Times New Roman" w:hAnsi="Times New Roman" w:eastAsia="宋体" w:cs="Times New Roman"/>
                <w:i w:val="0"/>
                <w:iCs w:val="0"/>
                <w:color w:val="000000"/>
                <w:sz w:val="20"/>
                <w:szCs w:val="20"/>
                <w:u w:val="none"/>
              </w:rPr>
            </w:pPr>
          </w:p>
        </w:tc>
        <w:tc>
          <w:tcPr>
            <w:tcW w:w="1560" w:type="dxa"/>
            <w:tcBorders>
              <w:top w:val="nil"/>
              <w:left w:val="nil"/>
              <w:bottom w:val="nil"/>
              <w:right w:val="nil"/>
            </w:tcBorders>
            <w:shd w:val="clear" w:color="auto" w:fill="auto"/>
            <w:vAlign w:val="bottom"/>
          </w:tcPr>
          <w:p>
            <w:pPr>
              <w:jc w:val="both"/>
              <w:rPr>
                <w:rFonts w:hint="default" w:ascii="Times New Roman" w:hAnsi="Times New Roman" w:eastAsia="宋体" w:cs="Times New Roman"/>
                <w:i w:val="0"/>
                <w:iCs w:val="0"/>
                <w:color w:val="000000"/>
                <w:sz w:val="20"/>
                <w:szCs w:val="20"/>
                <w:u w:val="none"/>
              </w:rPr>
            </w:pPr>
          </w:p>
        </w:tc>
        <w:tc>
          <w:tcPr>
            <w:tcW w:w="1470" w:type="dxa"/>
            <w:tcBorders>
              <w:top w:val="nil"/>
              <w:left w:val="nil"/>
              <w:bottom w:val="nil"/>
              <w:right w:val="nil"/>
            </w:tcBorders>
            <w:shd w:val="clear" w:color="auto" w:fill="auto"/>
            <w:vAlign w:val="bottom"/>
          </w:tcPr>
          <w:p>
            <w:pPr>
              <w:jc w:val="both"/>
              <w:rPr>
                <w:rFonts w:hint="default" w:ascii="Times New Roman" w:hAnsi="Times New Roman" w:eastAsia="宋体" w:cs="Times New Roman"/>
                <w:i w:val="0"/>
                <w:iCs w:val="0"/>
                <w:color w:val="000000"/>
                <w:sz w:val="20"/>
                <w:szCs w:val="20"/>
                <w:u w:val="none"/>
              </w:rPr>
            </w:pPr>
          </w:p>
        </w:tc>
        <w:tc>
          <w:tcPr>
            <w:tcW w:w="1440" w:type="dxa"/>
            <w:tcBorders>
              <w:top w:val="nil"/>
              <w:left w:val="nil"/>
              <w:bottom w:val="nil"/>
              <w:right w:val="nil"/>
            </w:tcBorders>
            <w:shd w:val="clear" w:color="auto" w:fill="auto"/>
            <w:vAlign w:val="bottom"/>
          </w:tcPr>
          <w:p>
            <w:pPr>
              <w:jc w:val="both"/>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137" w:type="dxa"/>
            <w:tcBorders>
              <w:top w:val="nil"/>
              <w:left w:val="nil"/>
              <w:bottom w:val="nil"/>
              <w:right w:val="nil"/>
            </w:tcBorders>
            <w:shd w:val="clear" w:color="auto" w:fill="auto"/>
            <w:vAlign w:val="bottom"/>
          </w:tcPr>
          <w:p>
            <w:pPr>
              <w:jc w:val="both"/>
              <w:rPr>
                <w:rFonts w:hint="default" w:ascii="Times New Roman" w:hAnsi="Times New Roman" w:eastAsia="宋体" w:cs="Times New Roman"/>
                <w:i w:val="0"/>
                <w:iCs w:val="0"/>
                <w:color w:val="000000"/>
                <w:sz w:val="20"/>
                <w:szCs w:val="20"/>
                <w:u w:val="none"/>
              </w:rPr>
            </w:pPr>
          </w:p>
        </w:tc>
        <w:tc>
          <w:tcPr>
            <w:tcW w:w="7905" w:type="dxa"/>
            <w:gridSpan w:val="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2025年泽普县本级社会保险基金预算收入表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37" w:type="dxa"/>
            <w:tcBorders>
              <w:top w:val="nil"/>
              <w:left w:val="nil"/>
              <w:bottom w:val="nil"/>
              <w:right w:val="nil"/>
            </w:tcBorders>
            <w:shd w:val="clear" w:color="auto" w:fill="FFFFFF"/>
            <w:vAlign w:val="bottom"/>
          </w:tcPr>
          <w:p>
            <w:pPr>
              <w:jc w:val="both"/>
              <w:rPr>
                <w:rFonts w:hint="default" w:ascii="Times New Roman" w:hAnsi="Times New Roman" w:eastAsia="宋体" w:cs="Times New Roman"/>
                <w:i w:val="0"/>
                <w:iCs w:val="0"/>
                <w:color w:val="000000"/>
                <w:sz w:val="20"/>
                <w:szCs w:val="20"/>
                <w:u w:val="none"/>
              </w:rPr>
            </w:pPr>
          </w:p>
        </w:tc>
        <w:tc>
          <w:tcPr>
            <w:tcW w:w="3435" w:type="dxa"/>
            <w:tcBorders>
              <w:top w:val="nil"/>
              <w:left w:val="nil"/>
              <w:bottom w:val="nil"/>
              <w:right w:val="nil"/>
            </w:tcBorders>
            <w:shd w:val="clear" w:color="auto" w:fill="FFFFFF"/>
            <w:vAlign w:val="bottom"/>
          </w:tcPr>
          <w:p>
            <w:pPr>
              <w:jc w:val="center"/>
              <w:rPr>
                <w:rFonts w:hint="default" w:ascii="Times New Roman" w:hAnsi="Times New Roman" w:eastAsia="宋体" w:cs="Times New Roman"/>
                <w:i w:val="0"/>
                <w:iCs w:val="0"/>
                <w:color w:val="000000"/>
                <w:sz w:val="20"/>
                <w:szCs w:val="20"/>
                <w:u w:val="none"/>
              </w:rPr>
            </w:pPr>
          </w:p>
        </w:tc>
        <w:tc>
          <w:tcPr>
            <w:tcW w:w="1560" w:type="dxa"/>
            <w:tcBorders>
              <w:top w:val="nil"/>
              <w:left w:val="nil"/>
              <w:bottom w:val="nil"/>
              <w:right w:val="nil"/>
            </w:tcBorders>
            <w:shd w:val="clear" w:color="auto" w:fill="FFFFFF"/>
            <w:vAlign w:val="bottom"/>
          </w:tcPr>
          <w:p>
            <w:pPr>
              <w:jc w:val="center"/>
              <w:rPr>
                <w:rFonts w:hint="default" w:ascii="Times New Roman" w:hAnsi="Times New Roman" w:eastAsia="宋体" w:cs="Times New Roman"/>
                <w:i w:val="0"/>
                <w:iCs w:val="0"/>
                <w:color w:val="000000"/>
                <w:sz w:val="20"/>
                <w:szCs w:val="20"/>
                <w:u w:val="none"/>
              </w:rPr>
            </w:pPr>
          </w:p>
        </w:tc>
        <w:tc>
          <w:tcPr>
            <w:tcW w:w="1470" w:type="dxa"/>
            <w:tcBorders>
              <w:top w:val="nil"/>
              <w:left w:val="nil"/>
              <w:bottom w:val="nil"/>
              <w:right w:val="nil"/>
            </w:tcBorders>
            <w:shd w:val="clear" w:color="auto" w:fill="FFFFFF"/>
            <w:vAlign w:val="bottom"/>
          </w:tcPr>
          <w:p>
            <w:pPr>
              <w:jc w:val="center"/>
              <w:rPr>
                <w:rFonts w:hint="default" w:ascii="Times New Roman" w:hAnsi="Times New Roman" w:eastAsia="宋体" w:cs="Times New Roman"/>
                <w:i w:val="0"/>
                <w:iCs w:val="0"/>
                <w:color w:val="000000"/>
                <w:sz w:val="20"/>
                <w:szCs w:val="20"/>
                <w:u w:val="none"/>
              </w:rPr>
            </w:pPr>
          </w:p>
        </w:tc>
        <w:tc>
          <w:tcPr>
            <w:tcW w:w="1440" w:type="dxa"/>
            <w:tcBorders>
              <w:top w:val="nil"/>
              <w:left w:val="nil"/>
              <w:bottom w:val="nil"/>
              <w:right w:val="nil"/>
            </w:tcBorders>
            <w:shd w:val="clear" w:color="auto" w:fill="FFFFFF"/>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113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科目编码</w:t>
            </w:r>
          </w:p>
        </w:tc>
        <w:tc>
          <w:tcPr>
            <w:tcW w:w="3435" w:type="dxa"/>
            <w:vMerge w:val="restart"/>
            <w:tcBorders>
              <w:top w:val="single" w:color="000000" w:sz="8" w:space="0"/>
              <w:left w:val="nil"/>
              <w:bottom w:val="single" w:color="000000" w:sz="8" w:space="0"/>
              <w:right w:val="single" w:color="000000" w:sz="8"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项目</w:t>
            </w:r>
          </w:p>
        </w:tc>
        <w:tc>
          <w:tcPr>
            <w:tcW w:w="1560" w:type="dxa"/>
            <w:vMerge w:val="restart"/>
            <w:tcBorders>
              <w:top w:val="single" w:color="000000" w:sz="8" w:space="0"/>
              <w:left w:val="nil"/>
              <w:bottom w:val="single" w:color="000000" w:sz="8" w:space="0"/>
              <w:right w:val="single" w:color="000000" w:sz="8"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2024年完成数</w:t>
            </w:r>
          </w:p>
        </w:tc>
        <w:tc>
          <w:tcPr>
            <w:tcW w:w="1470" w:type="dxa"/>
            <w:vMerge w:val="restart"/>
            <w:tcBorders>
              <w:top w:val="single" w:color="000000" w:sz="8" w:space="0"/>
              <w:left w:val="nil"/>
              <w:bottom w:val="single" w:color="000000" w:sz="8" w:space="0"/>
              <w:right w:val="single" w:color="000000" w:sz="8"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2025年预算数</w:t>
            </w:r>
          </w:p>
        </w:tc>
        <w:tc>
          <w:tcPr>
            <w:tcW w:w="1440" w:type="dxa"/>
            <w:vMerge w:val="restart"/>
            <w:tcBorders>
              <w:top w:val="single" w:color="000000" w:sz="8" w:space="0"/>
              <w:left w:val="nil"/>
              <w:bottom w:val="nil"/>
              <w:right w:val="single" w:color="000000" w:sz="8"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lang w:val="en-US"/>
              </w:rPr>
            </w:pPr>
            <w:r>
              <w:rPr>
                <w:rFonts w:hint="default" w:ascii="Times New Roman" w:hAnsi="Times New Roman" w:eastAsia="宋体" w:cs="Times New Roman"/>
                <w:b/>
                <w:bCs/>
                <w:i w:val="0"/>
                <w:iCs w:val="0"/>
                <w:color w:val="000000"/>
                <w:kern w:val="0"/>
                <w:sz w:val="18"/>
                <w:szCs w:val="18"/>
                <w:u w:val="none"/>
                <w:lang w:val="en-US" w:eastAsia="zh-CN" w:bidi="ar"/>
              </w:rPr>
              <w:t>预算数为上</w:t>
            </w:r>
            <w:r>
              <w:rPr>
                <w:rFonts w:hint="eastAsia" w:cs="Times New Roman"/>
                <w:b/>
                <w:bCs/>
                <w:i w:val="0"/>
                <w:iCs w:val="0"/>
                <w:color w:val="000000"/>
                <w:kern w:val="0"/>
                <w:sz w:val="18"/>
                <w:szCs w:val="18"/>
                <w:u w:val="none"/>
                <w:lang w:val="en-US" w:eastAsia="zh-CN" w:bidi="ar"/>
              </w:rPr>
              <w:t>年</w:t>
            </w:r>
            <w:r>
              <w:rPr>
                <w:rFonts w:hint="default" w:ascii="Times New Roman" w:hAnsi="Times New Roman" w:eastAsia="宋体" w:cs="Times New Roman"/>
                <w:b/>
                <w:bCs/>
                <w:i w:val="0"/>
                <w:iCs w:val="0"/>
                <w:color w:val="000000"/>
                <w:kern w:val="0"/>
                <w:sz w:val="18"/>
                <w:szCs w:val="18"/>
                <w:u w:val="none"/>
                <w:lang w:val="en-US" w:eastAsia="zh-CN" w:bidi="ar"/>
              </w:rPr>
              <w:t>完成数</w:t>
            </w:r>
            <w:r>
              <w:rPr>
                <w:rFonts w:hint="eastAsia" w:cs="Times New Roman"/>
                <w:b/>
                <w:bCs/>
                <w:i w:val="0"/>
                <w:iCs w:val="0"/>
                <w:color w:val="000000"/>
                <w:kern w:val="0"/>
                <w:sz w:val="18"/>
                <w:szCs w:val="18"/>
                <w:u w:val="none"/>
                <w:lang w:val="en-US" w:eastAsia="zh-CN" w:bidi="ar"/>
              </w:rPr>
              <w:t>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jc w:val="center"/>
        </w:trPr>
        <w:tc>
          <w:tcPr>
            <w:tcW w:w="113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hint="default" w:ascii="Times New Roman" w:hAnsi="Times New Roman" w:eastAsia="宋体" w:cs="Times New Roman"/>
                <w:b/>
                <w:bCs/>
                <w:i w:val="0"/>
                <w:iCs w:val="0"/>
                <w:color w:val="000000"/>
                <w:sz w:val="20"/>
                <w:szCs w:val="20"/>
                <w:u w:val="none"/>
              </w:rPr>
            </w:pPr>
          </w:p>
        </w:tc>
        <w:tc>
          <w:tcPr>
            <w:tcW w:w="3435" w:type="dxa"/>
            <w:vMerge w:val="continue"/>
            <w:tcBorders>
              <w:top w:val="single" w:color="000000" w:sz="8" w:space="0"/>
              <w:left w:val="nil"/>
              <w:bottom w:val="single" w:color="000000" w:sz="8" w:space="0"/>
              <w:right w:val="single" w:color="000000" w:sz="8" w:space="0"/>
            </w:tcBorders>
            <w:shd w:val="clear" w:color="auto" w:fill="FFFFFF"/>
            <w:vAlign w:val="center"/>
          </w:tcPr>
          <w:p>
            <w:pPr>
              <w:jc w:val="center"/>
              <w:rPr>
                <w:rFonts w:hint="default" w:ascii="Times New Roman" w:hAnsi="Times New Roman" w:eastAsia="宋体" w:cs="Times New Roman"/>
                <w:b/>
                <w:bCs/>
                <w:i w:val="0"/>
                <w:iCs w:val="0"/>
                <w:color w:val="000000"/>
                <w:sz w:val="20"/>
                <w:szCs w:val="20"/>
                <w:u w:val="none"/>
              </w:rPr>
            </w:pPr>
          </w:p>
        </w:tc>
        <w:tc>
          <w:tcPr>
            <w:tcW w:w="1560" w:type="dxa"/>
            <w:vMerge w:val="continue"/>
            <w:tcBorders>
              <w:top w:val="single" w:color="000000" w:sz="8" w:space="0"/>
              <w:left w:val="nil"/>
              <w:bottom w:val="single" w:color="000000" w:sz="8" w:space="0"/>
              <w:right w:val="single" w:color="000000" w:sz="8" w:space="0"/>
            </w:tcBorders>
            <w:shd w:val="clear" w:color="auto" w:fill="FFFFFF"/>
            <w:vAlign w:val="center"/>
          </w:tcPr>
          <w:p>
            <w:pPr>
              <w:jc w:val="center"/>
              <w:rPr>
                <w:rFonts w:hint="default" w:ascii="Times New Roman" w:hAnsi="Times New Roman" w:eastAsia="宋体" w:cs="Times New Roman"/>
                <w:b/>
                <w:bCs/>
                <w:i w:val="0"/>
                <w:iCs w:val="0"/>
                <w:color w:val="000000"/>
                <w:sz w:val="20"/>
                <w:szCs w:val="20"/>
                <w:u w:val="none"/>
              </w:rPr>
            </w:pPr>
          </w:p>
        </w:tc>
        <w:tc>
          <w:tcPr>
            <w:tcW w:w="1470" w:type="dxa"/>
            <w:vMerge w:val="continue"/>
            <w:tcBorders>
              <w:top w:val="single" w:color="000000" w:sz="8" w:space="0"/>
              <w:left w:val="nil"/>
              <w:bottom w:val="single" w:color="000000" w:sz="8" w:space="0"/>
              <w:right w:val="single" w:color="000000" w:sz="8" w:space="0"/>
            </w:tcBorders>
            <w:shd w:val="clear" w:color="auto" w:fill="FFFFFF"/>
            <w:vAlign w:val="center"/>
          </w:tcPr>
          <w:p>
            <w:pPr>
              <w:jc w:val="center"/>
              <w:rPr>
                <w:rFonts w:hint="default" w:ascii="Times New Roman" w:hAnsi="Times New Roman" w:eastAsia="宋体" w:cs="Times New Roman"/>
                <w:b/>
                <w:bCs/>
                <w:i w:val="0"/>
                <w:iCs w:val="0"/>
                <w:color w:val="000000"/>
                <w:sz w:val="20"/>
                <w:szCs w:val="20"/>
                <w:u w:val="none"/>
              </w:rPr>
            </w:pPr>
          </w:p>
        </w:tc>
        <w:tc>
          <w:tcPr>
            <w:tcW w:w="1440" w:type="dxa"/>
            <w:vMerge w:val="continue"/>
            <w:tcBorders>
              <w:top w:val="single" w:color="000000" w:sz="8" w:space="0"/>
              <w:left w:val="nil"/>
              <w:bottom w:val="nil"/>
              <w:right w:val="single" w:color="000000" w:sz="8" w:space="0"/>
            </w:tcBorders>
            <w:shd w:val="clear" w:color="auto" w:fill="FFFFFF"/>
            <w:vAlign w:val="center"/>
          </w:tcPr>
          <w:p>
            <w:pPr>
              <w:jc w:val="center"/>
              <w:rPr>
                <w:rFonts w:hint="default" w:ascii="Times New Roman" w:hAnsi="Times New Roman" w:eastAsia="宋体" w:cs="Times New Roman"/>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3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w:t>
            </w:r>
          </w:p>
        </w:tc>
        <w:tc>
          <w:tcPr>
            <w:tcW w:w="343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社会保险基金收入合计</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7944.78</w:t>
            </w: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7509.32</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37" w:type="dxa"/>
            <w:tcBorders>
              <w:top w:val="single" w:color="000000" w:sz="4" w:space="0"/>
              <w:left w:val="single" w:color="000000" w:sz="4" w:space="0"/>
              <w:bottom w:val="single" w:color="000000" w:sz="4" w:space="0"/>
              <w:right w:val="single" w:color="000000" w:sz="4" w:space="0"/>
            </w:tcBorders>
            <w:shd w:val="clear" w:color="auto" w:fill="FFFFFF"/>
            <w:vAlign w:val="bottom"/>
          </w:tcPr>
          <w:p>
            <w:pPr>
              <w:jc w:val="left"/>
              <w:rPr>
                <w:rFonts w:hint="default" w:ascii="Times New Roman" w:hAnsi="Times New Roman" w:eastAsia="宋体" w:cs="Times New Roman"/>
                <w:i w:val="0"/>
                <w:iCs w:val="0"/>
                <w:color w:val="000000"/>
                <w:sz w:val="21"/>
                <w:szCs w:val="21"/>
                <w:u w:val="none"/>
              </w:rPr>
            </w:pPr>
          </w:p>
        </w:tc>
        <w:tc>
          <w:tcPr>
            <w:tcW w:w="343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其中:保险费收入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3164.44</w:t>
            </w: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2408.78</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-23.88%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37" w:type="dxa"/>
            <w:tcBorders>
              <w:top w:val="single" w:color="000000" w:sz="4" w:space="0"/>
              <w:left w:val="single" w:color="000000" w:sz="4" w:space="0"/>
              <w:bottom w:val="single" w:color="000000" w:sz="4" w:space="0"/>
              <w:right w:val="single" w:color="000000" w:sz="4" w:space="0"/>
            </w:tcBorders>
            <w:shd w:val="clear" w:color="auto" w:fill="FFFFFF"/>
            <w:vAlign w:val="bottom"/>
          </w:tcPr>
          <w:p>
            <w:pPr>
              <w:jc w:val="left"/>
              <w:rPr>
                <w:rFonts w:hint="default" w:ascii="Times New Roman" w:hAnsi="Times New Roman" w:eastAsia="宋体" w:cs="Times New Roman"/>
                <w:i w:val="0"/>
                <w:iCs w:val="0"/>
                <w:color w:val="000000"/>
                <w:sz w:val="21"/>
                <w:szCs w:val="21"/>
                <w:u w:val="none"/>
              </w:rPr>
            </w:pPr>
          </w:p>
        </w:tc>
        <w:tc>
          <w:tcPr>
            <w:tcW w:w="34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 xml:space="preserve">       社会保险基金财政补贴收入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4063.13</w:t>
            </w: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282.29</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-93.05%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37" w:type="dxa"/>
            <w:tcBorders>
              <w:top w:val="single" w:color="000000" w:sz="4" w:space="0"/>
              <w:left w:val="single" w:color="000000" w:sz="4" w:space="0"/>
              <w:bottom w:val="single" w:color="000000" w:sz="4" w:space="0"/>
              <w:right w:val="single" w:color="000000" w:sz="4" w:space="0"/>
            </w:tcBorders>
            <w:shd w:val="clear" w:color="auto" w:fill="FFFFFF"/>
            <w:vAlign w:val="bottom"/>
          </w:tcPr>
          <w:p>
            <w:pPr>
              <w:jc w:val="left"/>
              <w:rPr>
                <w:rFonts w:hint="default" w:ascii="Times New Roman" w:hAnsi="Times New Roman" w:eastAsia="宋体" w:cs="Times New Roman"/>
                <w:i w:val="0"/>
                <w:iCs w:val="0"/>
                <w:color w:val="000000"/>
                <w:sz w:val="21"/>
                <w:szCs w:val="21"/>
                <w:u w:val="none"/>
              </w:rPr>
            </w:pPr>
          </w:p>
        </w:tc>
        <w:tc>
          <w:tcPr>
            <w:tcW w:w="343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 xml:space="preserve">       利息收入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157.32</w:t>
            </w: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175.86</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11.78%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3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10201</w:t>
            </w:r>
          </w:p>
        </w:tc>
        <w:tc>
          <w:tcPr>
            <w:tcW w:w="343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一、企业职工基本养老保险基金收入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i w:val="0"/>
                <w:iCs w:val="0"/>
                <w:color w:val="000000"/>
                <w:sz w:val="21"/>
                <w:szCs w:val="21"/>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3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1020101</w:t>
            </w:r>
          </w:p>
        </w:tc>
        <w:tc>
          <w:tcPr>
            <w:tcW w:w="343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其中:企业职工基本养老保险费收入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i w:val="0"/>
                <w:iCs w:val="0"/>
                <w:color w:val="000000"/>
                <w:sz w:val="21"/>
                <w:szCs w:val="21"/>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3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1020102</w:t>
            </w:r>
          </w:p>
        </w:tc>
        <w:tc>
          <w:tcPr>
            <w:tcW w:w="343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 xml:space="preserve">     企业职工基本养老保险基金财政补贴收入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i w:val="0"/>
                <w:iCs w:val="0"/>
                <w:color w:val="000000"/>
                <w:sz w:val="21"/>
                <w:szCs w:val="21"/>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3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1020103</w:t>
            </w:r>
          </w:p>
        </w:tc>
        <w:tc>
          <w:tcPr>
            <w:tcW w:w="343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 xml:space="preserve">     企业职工基本养老保险基金利息收入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i w:val="0"/>
                <w:iCs w:val="0"/>
                <w:color w:val="000000"/>
                <w:sz w:val="21"/>
                <w:szCs w:val="21"/>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3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10211</w:t>
            </w:r>
          </w:p>
        </w:tc>
        <w:tc>
          <w:tcPr>
            <w:tcW w:w="343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二、机关事业基本养老保险基金收入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i w:val="0"/>
                <w:iCs w:val="0"/>
                <w:color w:val="000000"/>
                <w:sz w:val="21"/>
                <w:szCs w:val="21"/>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3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1021101</w:t>
            </w:r>
          </w:p>
        </w:tc>
        <w:tc>
          <w:tcPr>
            <w:tcW w:w="343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其中:机关事业单位基本养老保险费收入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i w:val="0"/>
                <w:iCs w:val="0"/>
                <w:color w:val="000000"/>
                <w:sz w:val="21"/>
                <w:szCs w:val="21"/>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3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1021102</w:t>
            </w:r>
          </w:p>
        </w:tc>
        <w:tc>
          <w:tcPr>
            <w:tcW w:w="343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 xml:space="preserve">     机关事业单位基本养老保险基金财政补贴收入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i w:val="0"/>
                <w:iCs w:val="0"/>
                <w:color w:val="000000"/>
                <w:sz w:val="21"/>
                <w:szCs w:val="21"/>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3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1021103</w:t>
            </w:r>
          </w:p>
        </w:tc>
        <w:tc>
          <w:tcPr>
            <w:tcW w:w="343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 xml:space="preserve">     机关事业单位基本养老保险基金利息收入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i w:val="0"/>
                <w:iCs w:val="0"/>
                <w:color w:val="000000"/>
                <w:sz w:val="21"/>
                <w:szCs w:val="21"/>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3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10210</w:t>
            </w:r>
          </w:p>
        </w:tc>
        <w:tc>
          <w:tcPr>
            <w:tcW w:w="343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三、城乡居民基本养老保险基金收入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7944.78</w:t>
            </w: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7509.32</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3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1021001</w:t>
            </w:r>
          </w:p>
        </w:tc>
        <w:tc>
          <w:tcPr>
            <w:tcW w:w="343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其中:城乡居民基本养老保险费收入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3164.44</w:t>
            </w: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2408.78</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-23.88%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3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1021002</w:t>
            </w:r>
          </w:p>
        </w:tc>
        <w:tc>
          <w:tcPr>
            <w:tcW w:w="343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 xml:space="preserve">     城乡居民基本养老保险基金财政补贴收入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4063.13</w:t>
            </w: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282.29</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-93.05%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3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1021003</w:t>
            </w:r>
          </w:p>
        </w:tc>
        <w:tc>
          <w:tcPr>
            <w:tcW w:w="343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 xml:space="preserve">     城乡居民基本养老保险基金利息收入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157.32</w:t>
            </w: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175.86</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11.78%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3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10203</w:t>
            </w:r>
          </w:p>
        </w:tc>
        <w:tc>
          <w:tcPr>
            <w:tcW w:w="343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四、职工基本医疗保险基金收入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i w:val="0"/>
                <w:iCs w:val="0"/>
                <w:color w:val="000000"/>
                <w:sz w:val="21"/>
                <w:szCs w:val="21"/>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3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1020301</w:t>
            </w:r>
          </w:p>
        </w:tc>
        <w:tc>
          <w:tcPr>
            <w:tcW w:w="343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其中:职工基本医疗保险费收入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3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1020302</w:t>
            </w:r>
          </w:p>
        </w:tc>
        <w:tc>
          <w:tcPr>
            <w:tcW w:w="343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 xml:space="preserve">     职工基本医疗保险基金财政补贴收入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3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1020303</w:t>
            </w:r>
          </w:p>
        </w:tc>
        <w:tc>
          <w:tcPr>
            <w:tcW w:w="343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 xml:space="preserve">     职工基本医疗保险基金利息收入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3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10212</w:t>
            </w:r>
          </w:p>
        </w:tc>
        <w:tc>
          <w:tcPr>
            <w:tcW w:w="343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五、城乡居民基本医疗保险基金收入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3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1021201</w:t>
            </w:r>
          </w:p>
        </w:tc>
        <w:tc>
          <w:tcPr>
            <w:tcW w:w="343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其中:城乡居民基本医疗保险费收入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bottom"/>
          </w:tcPr>
          <w:p>
            <w:pPr>
              <w:jc w:val="center"/>
              <w:rPr>
                <w:rFonts w:hint="default" w:ascii="Times New Roman" w:hAnsi="Times New Roman" w:eastAsia="宋体" w:cs="Times New Roman"/>
                <w:i w:val="0"/>
                <w:iCs w:val="0"/>
                <w:color w:val="000000"/>
                <w:sz w:val="21"/>
                <w:szCs w:val="21"/>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3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1021202</w:t>
            </w:r>
          </w:p>
        </w:tc>
        <w:tc>
          <w:tcPr>
            <w:tcW w:w="343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 xml:space="preserve">     城乡居民基本医疗保险基金财政补贴收入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3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1021203</w:t>
            </w:r>
          </w:p>
        </w:tc>
        <w:tc>
          <w:tcPr>
            <w:tcW w:w="343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 xml:space="preserve">     城乡居民基本医疗保险基金利息收入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3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10204</w:t>
            </w:r>
          </w:p>
        </w:tc>
        <w:tc>
          <w:tcPr>
            <w:tcW w:w="343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六、工伤保险基金收入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3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1020401</w:t>
            </w:r>
          </w:p>
        </w:tc>
        <w:tc>
          <w:tcPr>
            <w:tcW w:w="343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其中:工伤保险费收入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3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1020402</w:t>
            </w:r>
          </w:p>
        </w:tc>
        <w:tc>
          <w:tcPr>
            <w:tcW w:w="343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 xml:space="preserve">  工伤保险基金财政补贴收入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3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1020403</w:t>
            </w:r>
          </w:p>
        </w:tc>
        <w:tc>
          <w:tcPr>
            <w:tcW w:w="343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 xml:space="preserve">  工伤保险基金利息收入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3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10202</w:t>
            </w:r>
          </w:p>
        </w:tc>
        <w:tc>
          <w:tcPr>
            <w:tcW w:w="343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七、失业保险基金收入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3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1020201</w:t>
            </w:r>
          </w:p>
        </w:tc>
        <w:tc>
          <w:tcPr>
            <w:tcW w:w="343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 xml:space="preserve">  其中:失业保险费收入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3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1020202</w:t>
            </w:r>
          </w:p>
        </w:tc>
        <w:tc>
          <w:tcPr>
            <w:tcW w:w="343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 xml:space="preserve">  失业保险财政补贴收入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137"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1020203</w:t>
            </w:r>
          </w:p>
        </w:tc>
        <w:tc>
          <w:tcPr>
            <w:tcW w:w="3435"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 xml:space="preserve">  失业保险利息收入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1"/>
                <w:szCs w:val="21"/>
                <w:u w:val="none"/>
              </w:rPr>
            </w:pPr>
          </w:p>
        </w:tc>
      </w:tr>
    </w:tbl>
    <w:p>
      <w:pPr>
        <w:rPr>
          <w:rFonts w:hint="default"/>
          <w:lang w:val="en-US" w:eastAsia="zh-Hans"/>
        </w:rPr>
      </w:pPr>
    </w:p>
    <w:tbl>
      <w:tblPr>
        <w:tblStyle w:val="8"/>
        <w:tblW w:w="923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1144"/>
        <w:gridCol w:w="3316"/>
        <w:gridCol w:w="1700"/>
        <w:gridCol w:w="1600"/>
        <w:gridCol w:w="14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1144" w:type="dxa"/>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表2</w:t>
            </w:r>
            <w:r>
              <w:rPr>
                <w:rFonts w:hint="default" w:ascii="Times New Roman" w:hAnsi="Times New Roman" w:cs="Times New Roman"/>
                <w:i w:val="0"/>
                <w:color w:val="000000"/>
                <w:kern w:val="0"/>
                <w:sz w:val="20"/>
                <w:szCs w:val="20"/>
                <w:highlight w:val="none"/>
                <w:u w:val="none"/>
                <w:lang w:eastAsia="zh-CN" w:bidi="ar"/>
              </w:rPr>
              <w:t>5</w:t>
            </w:r>
          </w:p>
        </w:tc>
        <w:tc>
          <w:tcPr>
            <w:tcW w:w="3316" w:type="dxa"/>
            <w:noWrap w:val="0"/>
            <w:vAlign w:val="center"/>
          </w:tcPr>
          <w:p>
            <w:pPr>
              <w:rPr>
                <w:rFonts w:hint="default" w:ascii="Times New Roman" w:hAnsi="Times New Roman" w:eastAsia="宋体" w:cs="Times New Roman"/>
                <w:i w:val="0"/>
                <w:color w:val="000000"/>
                <w:sz w:val="24"/>
                <w:szCs w:val="24"/>
                <w:highlight w:val="none"/>
                <w:u w:val="none"/>
              </w:rPr>
            </w:pPr>
          </w:p>
        </w:tc>
        <w:tc>
          <w:tcPr>
            <w:tcW w:w="1700" w:type="dxa"/>
            <w:noWrap w:val="0"/>
            <w:vAlign w:val="center"/>
          </w:tcPr>
          <w:p>
            <w:pPr>
              <w:rPr>
                <w:rFonts w:hint="default" w:ascii="Times New Roman" w:hAnsi="Times New Roman" w:eastAsia="宋体" w:cs="Times New Roman"/>
                <w:i w:val="0"/>
                <w:color w:val="000000"/>
                <w:sz w:val="24"/>
                <w:szCs w:val="24"/>
                <w:highlight w:val="none"/>
                <w:u w:val="none"/>
              </w:rPr>
            </w:pPr>
          </w:p>
        </w:tc>
        <w:tc>
          <w:tcPr>
            <w:tcW w:w="1600" w:type="dxa"/>
            <w:noWrap w:val="0"/>
            <w:vAlign w:val="center"/>
          </w:tcPr>
          <w:p>
            <w:pPr>
              <w:rPr>
                <w:rFonts w:hint="default" w:ascii="Times New Roman" w:hAnsi="Times New Roman" w:eastAsia="宋体" w:cs="Times New Roman"/>
                <w:i w:val="0"/>
                <w:color w:val="000000"/>
                <w:sz w:val="24"/>
                <w:szCs w:val="24"/>
                <w:highlight w:val="none"/>
                <w:u w:val="none"/>
              </w:rPr>
            </w:pPr>
          </w:p>
        </w:tc>
        <w:tc>
          <w:tcPr>
            <w:tcW w:w="1470" w:type="dxa"/>
            <w:noWrap w:val="0"/>
            <w:vAlign w:val="center"/>
          </w:tcPr>
          <w:p>
            <w:pPr>
              <w:rPr>
                <w:rFonts w:hint="default" w:ascii="Times New Roman" w:hAnsi="Times New Roman" w:eastAsia="宋体" w:cs="Times New Roman"/>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16" w:hRule="atLeast"/>
          <w:jc w:val="center"/>
        </w:trPr>
        <w:tc>
          <w:tcPr>
            <w:tcW w:w="9230" w:type="dxa"/>
            <w:gridSpan w:val="5"/>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2025</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cs="Times New Roman"/>
                <w:b/>
                <w:i w:val="0"/>
                <w:color w:val="000000"/>
                <w:kern w:val="0"/>
                <w:sz w:val="20"/>
                <w:szCs w:val="20"/>
                <w:highlight w:val="none"/>
                <w:u w:val="none"/>
                <w:lang w:val="en-US" w:eastAsia="zh-CN" w:bidi="ar"/>
              </w:rPr>
              <w:t>泽普县</w:t>
            </w:r>
            <w:r>
              <w:rPr>
                <w:rFonts w:hint="default" w:ascii="Times New Roman" w:hAnsi="Times New Roman" w:eastAsia="宋体" w:cs="Times New Roman"/>
                <w:b/>
                <w:i w:val="0"/>
                <w:color w:val="000000"/>
                <w:kern w:val="0"/>
                <w:sz w:val="20"/>
                <w:szCs w:val="20"/>
                <w:highlight w:val="none"/>
                <w:u w:val="none"/>
                <w:lang w:val="en-US" w:eastAsia="zh-CN" w:bidi="ar"/>
              </w:rPr>
              <w:t>本级社会保险基金预算支出表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jc w:val="center"/>
        </w:trPr>
        <w:tc>
          <w:tcPr>
            <w:tcW w:w="1144" w:type="dxa"/>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316" w:type="dxa"/>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700" w:type="dxa"/>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600" w:type="dxa"/>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470" w:type="dxa"/>
            <w:shd w:val="clear" w:color="auto"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81" w:hRule="atLeast"/>
          <w:jc w:val="center"/>
        </w:trPr>
        <w:tc>
          <w:tcPr>
            <w:tcW w:w="11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3316" w:type="dxa"/>
            <w:tcBorders>
              <w:top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 目</w:t>
            </w:r>
          </w:p>
        </w:tc>
        <w:tc>
          <w:tcPr>
            <w:tcW w:w="1700" w:type="dxa"/>
            <w:tcBorders>
              <w:top w:val="single" w:color="000000" w:sz="4" w:space="0"/>
              <w:left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2024</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w:t>
            </w:r>
          </w:p>
        </w:tc>
        <w:tc>
          <w:tcPr>
            <w:tcW w:w="1600" w:type="dxa"/>
            <w:tcBorders>
              <w:top w:val="single" w:color="000000" w:sz="4" w:space="0"/>
              <w:left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470" w:type="dxa"/>
            <w:tcBorders>
              <w:top w:val="single" w:color="000000" w:sz="4" w:space="0"/>
              <w:left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0"/>
                <w:sz w:val="20"/>
                <w:szCs w:val="20"/>
                <w:highlight w:val="none"/>
                <w:u w:val="none"/>
                <w:lang w:val="en-US" w:eastAsia="zh-CN" w:bidi="ar"/>
              </w:rPr>
            </w:pPr>
            <w:r>
              <w:rPr>
                <w:rFonts w:hint="default" w:ascii="Times New Roman" w:hAnsi="Times New Roman" w:eastAsia="宋体" w:cs="Times New Roman"/>
                <w:b/>
                <w:bCs/>
                <w:i w:val="0"/>
                <w:color w:val="000000"/>
                <w:kern w:val="0"/>
                <w:sz w:val="20"/>
                <w:szCs w:val="20"/>
                <w:highlight w:val="none"/>
                <w:u w:val="none"/>
                <w:lang w:val="en-US" w:eastAsia="zh-CN" w:bidi="ar"/>
              </w:rPr>
              <w:t>预算数为上年</w:t>
            </w:r>
          </w:p>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w:t>
            </w:r>
          </w:p>
        </w:tc>
        <w:tc>
          <w:tcPr>
            <w:tcW w:w="3316"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社会保险基金支出合计</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1"/>
                <w:szCs w:val="21"/>
                <w:u w:val="none"/>
                <w:lang w:val="en-US" w:eastAsia="zh-CN" w:bidi="ar"/>
              </w:rPr>
              <w:t>3912.23</w:t>
            </w: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1"/>
                <w:szCs w:val="21"/>
                <w:u w:val="none"/>
                <w:lang w:val="en-US" w:eastAsia="zh-CN" w:bidi="ar"/>
              </w:rPr>
              <w:t>4478.45</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1"/>
                <w:szCs w:val="21"/>
                <w:u w:val="none"/>
                <w:lang w:val="en-US" w:eastAsia="zh-CN" w:bidi="ar"/>
              </w:rPr>
              <w:t>14.47%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jc w:val="center"/>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20901</w:t>
            </w:r>
          </w:p>
        </w:tc>
        <w:tc>
          <w:tcPr>
            <w:tcW w:w="3316"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一、企业职工基本养老保险基金支出</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2090101</w:t>
            </w:r>
          </w:p>
        </w:tc>
        <w:tc>
          <w:tcPr>
            <w:tcW w:w="3316"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其中:基本养老金</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0" w:hRule="atLeast"/>
          <w:jc w:val="center"/>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20911</w:t>
            </w:r>
          </w:p>
        </w:tc>
        <w:tc>
          <w:tcPr>
            <w:tcW w:w="3316"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二、机关事业基本养老保险基金支出</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jc w:val="center"/>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2091101</w:t>
            </w:r>
          </w:p>
        </w:tc>
        <w:tc>
          <w:tcPr>
            <w:tcW w:w="3316"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其中:基本养老金支出</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jc w:val="center"/>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20910</w:t>
            </w:r>
          </w:p>
        </w:tc>
        <w:tc>
          <w:tcPr>
            <w:tcW w:w="3316"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三、城乡居民基本养老保险基金支出</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1"/>
                <w:szCs w:val="21"/>
                <w:u w:val="none"/>
                <w:lang w:val="en-US" w:eastAsia="zh-CN" w:bidi="ar"/>
              </w:rPr>
              <w:t>3912.23</w:t>
            </w: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1"/>
                <w:szCs w:val="21"/>
                <w:u w:val="none"/>
                <w:lang w:val="en-US" w:eastAsia="zh-CN" w:bidi="ar"/>
              </w:rPr>
              <w:t>4478.45</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1"/>
                <w:szCs w:val="21"/>
                <w:u w:val="none"/>
                <w:lang w:val="en-US" w:eastAsia="zh-CN" w:bidi="ar"/>
              </w:rPr>
              <w:t>14.47%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0" w:hRule="atLeast"/>
          <w:jc w:val="center"/>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2091001</w:t>
            </w:r>
          </w:p>
        </w:tc>
        <w:tc>
          <w:tcPr>
            <w:tcW w:w="3316"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其中:基</w:t>
            </w:r>
            <w:r>
              <w:rPr>
                <w:rFonts w:hint="default" w:ascii="Times New Roman" w:hAnsi="Times New Roman" w:cs="Times New Roman"/>
                <w:i w:val="0"/>
                <w:color w:val="000000"/>
                <w:kern w:val="0"/>
                <w:sz w:val="20"/>
                <w:szCs w:val="20"/>
                <w:highlight w:val="none"/>
                <w:u w:val="none"/>
                <w:lang w:val="en-US" w:eastAsia="zh-CN" w:bidi="ar"/>
              </w:rPr>
              <w:t>础</w:t>
            </w:r>
            <w:r>
              <w:rPr>
                <w:rFonts w:hint="default" w:ascii="Times New Roman" w:hAnsi="Times New Roman" w:eastAsia="宋体" w:cs="Times New Roman"/>
                <w:i w:val="0"/>
                <w:color w:val="000000"/>
                <w:kern w:val="0"/>
                <w:sz w:val="20"/>
                <w:szCs w:val="20"/>
                <w:highlight w:val="none"/>
                <w:u w:val="none"/>
                <w:lang w:val="en-US" w:eastAsia="zh-CN" w:bidi="ar"/>
              </w:rPr>
              <w:t>养老金支出</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1"/>
                <w:szCs w:val="21"/>
                <w:u w:val="none"/>
                <w:lang w:val="en-US" w:eastAsia="zh-CN" w:bidi="ar"/>
              </w:rPr>
              <w:t>3882.93</w:t>
            </w: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1"/>
                <w:szCs w:val="21"/>
                <w:u w:val="none"/>
                <w:lang w:val="en-US" w:eastAsia="zh-CN" w:bidi="ar"/>
              </w:rPr>
              <w:t>4448.7</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1"/>
                <w:szCs w:val="21"/>
                <w:u w:val="none"/>
                <w:lang w:val="en-US" w:eastAsia="zh-CN" w:bidi="ar"/>
              </w:rPr>
              <w:t>14.57%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20903</w:t>
            </w:r>
          </w:p>
        </w:tc>
        <w:tc>
          <w:tcPr>
            <w:tcW w:w="3316"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四、职工基本医疗保险基金支出</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2" w:hRule="atLeast"/>
          <w:jc w:val="center"/>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2090301</w:t>
            </w:r>
          </w:p>
        </w:tc>
        <w:tc>
          <w:tcPr>
            <w:tcW w:w="3316"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其中:职工基本医疗保险统筹基金</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4" w:hRule="atLeast"/>
          <w:jc w:val="center"/>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auto"/>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2090302</w:t>
            </w:r>
          </w:p>
        </w:tc>
        <w:tc>
          <w:tcPr>
            <w:tcW w:w="3316"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职工基本医疗保险个人账户基金</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jc w:val="center"/>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auto"/>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20912</w:t>
            </w:r>
          </w:p>
        </w:tc>
        <w:tc>
          <w:tcPr>
            <w:tcW w:w="3316" w:type="dxa"/>
            <w:vMerge w:val="restart"/>
            <w:tcBorders>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五、城乡居民基本医疗保险基金支出</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jc w:val="center"/>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3316" w:type="dxa"/>
            <w:vMerge w:val="continue"/>
            <w:tcBorders>
              <w:bottom w:val="single" w:color="000000" w:sz="4" w:space="0"/>
              <w:right w:val="single" w:color="000000" w:sz="4" w:space="0"/>
            </w:tcBorders>
            <w:shd w:val="clear" w:color="auto" w:fill="auto"/>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2091201</w:t>
            </w:r>
          </w:p>
        </w:tc>
        <w:tc>
          <w:tcPr>
            <w:tcW w:w="3316"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其中:城乡居民基本医疗保险基金医疗待遇支出</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5" w:hRule="atLeast"/>
          <w:jc w:val="center"/>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auto"/>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jc w:val="center"/>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2091202</w:t>
            </w:r>
          </w:p>
        </w:tc>
        <w:tc>
          <w:tcPr>
            <w:tcW w:w="3316"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城乡居民大病保险支出</w:t>
            </w:r>
          </w:p>
        </w:tc>
        <w:tc>
          <w:tcPr>
            <w:tcW w:w="1700" w:type="dxa"/>
            <w:vMerge w:val="restart"/>
            <w:tcBorders>
              <w:top w:val="single" w:color="000000" w:sz="4" w:space="0"/>
              <w:left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0" w:hRule="atLeast"/>
          <w:jc w:val="center"/>
        </w:trPr>
        <w:tc>
          <w:tcPr>
            <w:tcW w:w="1144" w:type="dxa"/>
            <w:vMerge w:val="continue"/>
            <w:tcBorders>
              <w:top w:val="single" w:color="000000" w:sz="4" w:space="0"/>
              <w:left w:val="single" w:color="000000" w:sz="4" w:space="0"/>
              <w:bottom w:val="single" w:color="auto"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auto" w:sz="4" w:space="0"/>
              <w:right w:val="single" w:color="000000" w:sz="4" w:space="0"/>
            </w:tcBorders>
            <w:shd w:val="clear" w:color="auto" w:fill="auto"/>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auto"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auto"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auto"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jc w:val="center"/>
        </w:trPr>
        <w:tc>
          <w:tcPr>
            <w:tcW w:w="1144" w:type="dxa"/>
            <w:vMerge w:val="restart"/>
            <w:tcBorders>
              <w:top w:val="single" w:color="auto" w:sz="4" w:space="0"/>
              <w:left w:val="single" w:color="auto" w:sz="4" w:space="0"/>
              <w:bottom w:val="single" w:color="auto"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20904</w:t>
            </w:r>
          </w:p>
        </w:tc>
        <w:tc>
          <w:tcPr>
            <w:tcW w:w="3316" w:type="dxa"/>
            <w:vMerge w:val="restart"/>
            <w:tcBorders>
              <w:top w:val="single" w:color="auto" w:sz="4" w:space="0"/>
              <w:bottom w:val="single" w:color="auto"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六、工伤保险基金支出</w:t>
            </w:r>
          </w:p>
        </w:tc>
        <w:tc>
          <w:tcPr>
            <w:tcW w:w="1700" w:type="dxa"/>
            <w:vMerge w:val="restart"/>
            <w:tcBorders>
              <w:top w:val="single" w:color="auto" w:sz="4" w:space="0"/>
              <w:left w:val="single" w:color="000000" w:sz="4" w:space="0"/>
              <w:bottom w:val="single" w:color="auto"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auto" w:sz="4" w:space="0"/>
              <w:left w:val="single" w:color="000000" w:sz="4" w:space="0"/>
              <w:bottom w:val="single" w:color="auto"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auto" w:sz="4" w:space="0"/>
              <w:left w:val="single" w:color="000000" w:sz="4" w:space="0"/>
              <w:bottom w:val="single" w:color="auto" w:sz="4" w:space="0"/>
              <w:right w:val="single" w:color="auto"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1144" w:type="dxa"/>
            <w:vMerge w:val="continue"/>
            <w:tcBorders>
              <w:top w:val="single" w:color="auto" w:sz="4" w:space="0"/>
              <w:left w:val="single" w:color="auto" w:sz="4" w:space="0"/>
              <w:bottom w:val="single" w:color="auto"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auto" w:sz="4" w:space="0"/>
              <w:bottom w:val="single" w:color="auto" w:sz="4" w:space="0"/>
              <w:right w:val="single" w:color="000000" w:sz="4" w:space="0"/>
            </w:tcBorders>
            <w:shd w:val="clear" w:color="auto" w:fill="auto"/>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auto" w:sz="4" w:space="0"/>
              <w:left w:val="single" w:color="000000" w:sz="4" w:space="0"/>
              <w:bottom w:val="single" w:color="auto"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auto" w:sz="4" w:space="0"/>
              <w:left w:val="single" w:color="000000" w:sz="4" w:space="0"/>
              <w:bottom w:val="single" w:color="auto"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auto" w:sz="4" w:space="0"/>
              <w:left w:val="single" w:color="000000" w:sz="4" w:space="0"/>
              <w:bottom w:val="single" w:color="auto" w:sz="4" w:space="0"/>
              <w:right w:val="single" w:color="auto"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1144" w:type="dxa"/>
            <w:vMerge w:val="restart"/>
            <w:tcBorders>
              <w:top w:val="single" w:color="auto" w:sz="4" w:space="0"/>
              <w:left w:val="single" w:color="000000" w:sz="4" w:space="0"/>
              <w:bottom w:val="single" w:color="auto"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2090401</w:t>
            </w:r>
          </w:p>
        </w:tc>
        <w:tc>
          <w:tcPr>
            <w:tcW w:w="3316" w:type="dxa"/>
            <w:vMerge w:val="restart"/>
            <w:tcBorders>
              <w:top w:val="single" w:color="auto" w:sz="4" w:space="0"/>
              <w:bottom w:val="single" w:color="auto"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其中:工伤保险待遇</w:t>
            </w:r>
          </w:p>
        </w:tc>
        <w:tc>
          <w:tcPr>
            <w:tcW w:w="1700" w:type="dxa"/>
            <w:vMerge w:val="restart"/>
            <w:tcBorders>
              <w:top w:val="single" w:color="auto" w:sz="4" w:space="0"/>
              <w:left w:val="single" w:color="000000" w:sz="4" w:space="0"/>
              <w:bottom w:val="single" w:color="auto"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auto" w:sz="4" w:space="0"/>
              <w:left w:val="single" w:color="000000" w:sz="4" w:space="0"/>
              <w:bottom w:val="single" w:color="auto"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auto" w:sz="4" w:space="0"/>
              <w:left w:val="single" w:color="000000" w:sz="4" w:space="0"/>
              <w:bottom w:val="single" w:color="auto"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jc w:val="center"/>
        </w:trPr>
        <w:tc>
          <w:tcPr>
            <w:tcW w:w="1144" w:type="dxa"/>
            <w:vMerge w:val="continue"/>
            <w:tcBorders>
              <w:top w:val="single" w:color="auto" w:sz="4" w:space="0"/>
              <w:left w:val="single" w:color="000000" w:sz="4" w:space="0"/>
              <w:bottom w:val="single" w:color="auto"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auto" w:sz="4" w:space="0"/>
              <w:bottom w:val="single" w:color="auto" w:sz="4" w:space="0"/>
              <w:right w:val="single" w:color="000000" w:sz="4" w:space="0"/>
            </w:tcBorders>
            <w:shd w:val="clear" w:color="auto" w:fill="auto"/>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auto" w:sz="4" w:space="0"/>
              <w:left w:val="single" w:color="000000" w:sz="4" w:space="0"/>
              <w:bottom w:val="single" w:color="auto"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auto" w:sz="4" w:space="0"/>
              <w:left w:val="single" w:color="000000" w:sz="4" w:space="0"/>
              <w:bottom w:val="single" w:color="auto"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auto" w:sz="4" w:space="0"/>
              <w:left w:val="single" w:color="000000" w:sz="4" w:space="0"/>
              <w:bottom w:val="single" w:color="auto"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1144" w:type="dxa"/>
            <w:vMerge w:val="restart"/>
            <w:tcBorders>
              <w:top w:val="single" w:color="auto" w:sz="4" w:space="0"/>
              <w:left w:val="single" w:color="000000" w:sz="4" w:space="0"/>
              <w:bottom w:val="single" w:color="auto"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20902</w:t>
            </w:r>
          </w:p>
        </w:tc>
        <w:tc>
          <w:tcPr>
            <w:tcW w:w="3316" w:type="dxa"/>
            <w:vMerge w:val="restart"/>
            <w:tcBorders>
              <w:top w:val="single" w:color="auto" w:sz="4" w:space="0"/>
              <w:bottom w:val="single" w:color="auto"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七、失业保险基金支出</w:t>
            </w:r>
          </w:p>
        </w:tc>
        <w:tc>
          <w:tcPr>
            <w:tcW w:w="1700" w:type="dxa"/>
            <w:vMerge w:val="restart"/>
            <w:tcBorders>
              <w:top w:val="single" w:color="auto" w:sz="4" w:space="0"/>
              <w:left w:val="single" w:color="000000" w:sz="4" w:space="0"/>
              <w:bottom w:val="single" w:color="auto"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auto" w:sz="4" w:space="0"/>
              <w:left w:val="single" w:color="000000" w:sz="4" w:space="0"/>
              <w:bottom w:val="single" w:color="auto"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auto" w:sz="4" w:space="0"/>
              <w:left w:val="single" w:color="000000" w:sz="4" w:space="0"/>
              <w:bottom w:val="single" w:color="auto"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7" w:hRule="atLeast"/>
          <w:jc w:val="center"/>
        </w:trPr>
        <w:tc>
          <w:tcPr>
            <w:tcW w:w="1144" w:type="dxa"/>
            <w:vMerge w:val="continue"/>
            <w:tcBorders>
              <w:top w:val="single" w:color="auto" w:sz="4" w:space="0"/>
              <w:left w:val="single" w:color="000000" w:sz="4" w:space="0"/>
              <w:bottom w:val="single" w:color="auto"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auto" w:sz="4" w:space="0"/>
              <w:bottom w:val="single" w:color="auto" w:sz="4" w:space="0"/>
              <w:right w:val="single" w:color="000000" w:sz="4" w:space="0"/>
            </w:tcBorders>
            <w:shd w:val="clear" w:color="auto" w:fill="auto"/>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auto" w:sz="4" w:space="0"/>
              <w:left w:val="single" w:color="000000" w:sz="4" w:space="0"/>
              <w:bottom w:val="single" w:color="auto"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auto" w:sz="4" w:space="0"/>
              <w:left w:val="single" w:color="000000" w:sz="4" w:space="0"/>
              <w:bottom w:val="single" w:color="auto"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auto" w:sz="4" w:space="0"/>
              <w:left w:val="single" w:color="000000" w:sz="4" w:space="0"/>
              <w:bottom w:val="single" w:color="auto"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1144" w:type="dxa"/>
            <w:vMerge w:val="restart"/>
            <w:tcBorders>
              <w:top w:val="single" w:color="auto" w:sz="4" w:space="0"/>
              <w:left w:val="single" w:color="000000" w:sz="4" w:space="0"/>
              <w:bottom w:val="single" w:color="auto"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2090201</w:t>
            </w:r>
          </w:p>
        </w:tc>
        <w:tc>
          <w:tcPr>
            <w:tcW w:w="3316" w:type="dxa"/>
            <w:vMerge w:val="restart"/>
            <w:tcBorders>
              <w:top w:val="single" w:color="auto" w:sz="4" w:space="0"/>
              <w:bottom w:val="single" w:color="auto"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其中:失业保险金</w:t>
            </w:r>
          </w:p>
        </w:tc>
        <w:tc>
          <w:tcPr>
            <w:tcW w:w="1700" w:type="dxa"/>
            <w:vMerge w:val="restart"/>
            <w:tcBorders>
              <w:top w:val="single" w:color="auto" w:sz="4" w:space="0"/>
              <w:left w:val="single" w:color="000000" w:sz="4" w:space="0"/>
              <w:bottom w:val="single" w:color="auto"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auto" w:sz="4" w:space="0"/>
              <w:left w:val="single" w:color="000000" w:sz="4" w:space="0"/>
              <w:bottom w:val="single" w:color="auto"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auto" w:sz="4" w:space="0"/>
              <w:left w:val="single" w:color="000000" w:sz="4" w:space="0"/>
              <w:bottom w:val="single" w:color="auto"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jc w:val="center"/>
        </w:trPr>
        <w:tc>
          <w:tcPr>
            <w:tcW w:w="1144" w:type="dxa"/>
            <w:vMerge w:val="continue"/>
            <w:tcBorders>
              <w:top w:val="single" w:color="auto" w:sz="4" w:space="0"/>
              <w:left w:val="single" w:color="000000" w:sz="4" w:space="0"/>
              <w:bottom w:val="single" w:color="auto"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auto" w:sz="4" w:space="0"/>
              <w:bottom w:val="single" w:color="auto" w:sz="4" w:space="0"/>
              <w:right w:val="single" w:color="000000" w:sz="4" w:space="0"/>
            </w:tcBorders>
            <w:shd w:val="clear" w:color="auto" w:fill="auto"/>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auto" w:sz="4" w:space="0"/>
              <w:left w:val="single" w:color="000000" w:sz="4" w:space="0"/>
              <w:bottom w:val="single" w:color="auto"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auto" w:sz="4" w:space="0"/>
              <w:left w:val="single" w:color="000000" w:sz="4" w:space="0"/>
              <w:bottom w:val="single" w:color="auto"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auto" w:sz="4" w:space="0"/>
              <w:left w:val="single" w:color="000000" w:sz="4" w:space="0"/>
              <w:bottom w:val="single" w:color="auto"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1144" w:type="dxa"/>
            <w:vMerge w:val="continue"/>
            <w:tcBorders>
              <w:top w:val="single" w:color="auto" w:sz="4" w:space="0"/>
              <w:left w:val="single" w:color="000000" w:sz="4" w:space="0"/>
              <w:bottom w:val="single" w:color="auto"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auto" w:sz="4" w:space="0"/>
              <w:bottom w:val="single" w:color="auto" w:sz="4" w:space="0"/>
              <w:right w:val="single" w:color="000000" w:sz="4" w:space="0"/>
            </w:tcBorders>
            <w:shd w:val="clear" w:color="auto" w:fill="auto"/>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auto" w:sz="4" w:space="0"/>
              <w:left w:val="single" w:color="000000" w:sz="4" w:space="0"/>
              <w:bottom w:val="single" w:color="auto"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auto" w:sz="4" w:space="0"/>
              <w:left w:val="single" w:color="000000" w:sz="4" w:space="0"/>
              <w:bottom w:val="single" w:color="auto"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auto" w:sz="4" w:space="0"/>
              <w:left w:val="single" w:color="000000" w:sz="4" w:space="0"/>
              <w:bottom w:val="single" w:color="auto"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bl>
    <w:p>
      <w:pPr>
        <w:pStyle w:val="2"/>
        <w:rPr>
          <w:rFonts w:hint="default"/>
          <w:lang w:val="en-US" w:eastAsia="zh-Hans"/>
        </w:rPr>
      </w:pPr>
    </w:p>
    <w:tbl>
      <w:tblPr>
        <w:tblStyle w:val="8"/>
        <w:tblpPr w:leftFromText="180" w:rightFromText="180" w:vertAnchor="text" w:horzAnchor="page" w:tblpXSpec="center" w:tblpY="312"/>
        <w:tblOverlap w:val="never"/>
        <w:tblW w:w="94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1393"/>
        <w:gridCol w:w="3327"/>
        <w:gridCol w:w="1620"/>
        <w:gridCol w:w="1730"/>
        <w:gridCol w:w="13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9400" w:type="dxa"/>
            <w:gridSpan w:val="5"/>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b w:val="0"/>
                <w:bCs/>
                <w:i w:val="0"/>
                <w:color w:val="000000"/>
                <w:kern w:val="0"/>
                <w:sz w:val="20"/>
                <w:szCs w:val="20"/>
                <w:highlight w:val="none"/>
                <w:u w:val="none"/>
                <w:lang w:val="en-US" w:eastAsia="zh-Hans" w:bidi="ar"/>
              </w:rPr>
            </w:pPr>
            <w:r>
              <w:rPr>
                <w:rFonts w:hint="default" w:ascii="Times New Roman" w:hAnsi="Times New Roman" w:cs="Times New Roman"/>
                <w:b w:val="0"/>
                <w:bCs/>
                <w:i w:val="0"/>
                <w:color w:val="000000"/>
                <w:kern w:val="0"/>
                <w:sz w:val="20"/>
                <w:szCs w:val="20"/>
                <w:highlight w:val="none"/>
                <w:u w:val="none"/>
                <w:lang w:val="en-US" w:eastAsia="zh-Hans" w:bidi="ar"/>
              </w:rPr>
              <w:t>表</w:t>
            </w:r>
            <w:r>
              <w:rPr>
                <w:rFonts w:hint="default" w:ascii="Times New Roman" w:hAnsi="Times New Roman" w:cs="Times New Roman"/>
                <w:b w:val="0"/>
                <w:bCs/>
                <w:i w:val="0"/>
                <w:color w:val="000000"/>
                <w:kern w:val="0"/>
                <w:sz w:val="20"/>
                <w:szCs w:val="20"/>
                <w:highlight w:val="none"/>
                <w:u w:val="none"/>
                <w:lang w:eastAsia="zh-Hans" w:bidi="ar"/>
              </w:rPr>
              <w:t>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9400" w:type="dxa"/>
            <w:gridSpan w:val="5"/>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2025</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cs="Times New Roman"/>
                <w:b/>
                <w:i w:val="0"/>
                <w:color w:val="000000"/>
                <w:kern w:val="0"/>
                <w:sz w:val="20"/>
                <w:szCs w:val="20"/>
                <w:highlight w:val="none"/>
                <w:u w:val="none"/>
                <w:lang w:val="en-US" w:eastAsia="zh-CN" w:bidi="ar"/>
              </w:rPr>
              <w:t>泽普县</w:t>
            </w:r>
            <w:r>
              <w:rPr>
                <w:rFonts w:hint="default" w:ascii="Times New Roman" w:hAnsi="Times New Roman" w:cs="Times New Roman"/>
                <w:b/>
                <w:i w:val="0"/>
                <w:color w:val="000000"/>
                <w:kern w:val="0"/>
                <w:sz w:val="20"/>
                <w:szCs w:val="20"/>
                <w:highlight w:val="none"/>
                <w:u w:val="none"/>
                <w:lang w:val="en-US" w:eastAsia="zh-Hans" w:bidi="ar"/>
              </w:rPr>
              <w:t>本级</w:t>
            </w:r>
            <w:r>
              <w:rPr>
                <w:rFonts w:hint="default" w:ascii="Times New Roman" w:hAnsi="Times New Roman" w:eastAsia="宋体" w:cs="Times New Roman"/>
                <w:b/>
                <w:i w:val="0"/>
                <w:color w:val="000000"/>
                <w:kern w:val="0"/>
                <w:sz w:val="20"/>
                <w:szCs w:val="20"/>
                <w:highlight w:val="none"/>
                <w:u w:val="none"/>
                <w:lang w:val="en-US" w:eastAsia="zh-CN" w:bidi="ar"/>
              </w:rPr>
              <w:t>社会保险基金预算</w:t>
            </w:r>
            <w:r>
              <w:rPr>
                <w:rFonts w:hint="default" w:ascii="Times New Roman" w:hAnsi="Times New Roman" w:cs="Times New Roman"/>
                <w:b/>
                <w:i w:val="0"/>
                <w:color w:val="000000"/>
                <w:kern w:val="0"/>
                <w:sz w:val="20"/>
                <w:szCs w:val="20"/>
                <w:highlight w:val="none"/>
                <w:u w:val="none"/>
                <w:lang w:val="en-US" w:eastAsia="zh-CN" w:bidi="ar"/>
              </w:rPr>
              <w:t>结余</w:t>
            </w:r>
            <w:r>
              <w:rPr>
                <w:rFonts w:hint="default" w:ascii="Times New Roman" w:hAnsi="Times New Roman" w:eastAsia="宋体" w:cs="Times New Roman"/>
                <w:b/>
                <w:i w:val="0"/>
                <w:color w:val="000000"/>
                <w:kern w:val="0"/>
                <w:sz w:val="20"/>
                <w:szCs w:val="20"/>
                <w:highlight w:val="none"/>
                <w:u w:val="none"/>
                <w:lang w:val="en-US" w:eastAsia="zh-CN" w:bidi="ar"/>
              </w:rPr>
              <w:t>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5" w:hRule="atLeast"/>
          <w:jc w:val="center"/>
        </w:trPr>
        <w:tc>
          <w:tcPr>
            <w:tcW w:w="1393" w:type="dxa"/>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327" w:type="dxa"/>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620" w:type="dxa"/>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730" w:type="dxa"/>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30" w:type="dxa"/>
            <w:shd w:val="clear" w:color="auto"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jc w:val="center"/>
        </w:trPr>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332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 目</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2024</w:t>
            </w:r>
            <w:r>
              <w:rPr>
                <w:rFonts w:hint="default" w:ascii="Times New Roman" w:hAnsi="Times New Roman" w:eastAsia="宋体" w:cs="Times New Roman"/>
                <w:b/>
                <w:bCs/>
                <w:i w:val="0"/>
                <w:color w:val="000000"/>
                <w:kern w:val="0"/>
                <w:sz w:val="20"/>
                <w:szCs w:val="20"/>
                <w:highlight w:val="none"/>
                <w:u w:val="none"/>
                <w:lang w:val="en-US" w:eastAsia="zh-CN" w:bidi="ar"/>
              </w:rPr>
              <w:t>年年末累计结余预计数</w:t>
            </w:r>
          </w:p>
        </w:tc>
        <w:tc>
          <w:tcPr>
            <w:tcW w:w="17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年年末累计结余预算数</w:t>
            </w:r>
          </w:p>
        </w:tc>
        <w:tc>
          <w:tcPr>
            <w:tcW w:w="13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预算数为上年预计数的%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1393" w:type="dxa"/>
            <w:vMerge w:val="restart"/>
            <w:tcBorders>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rPr>
            </w:pPr>
            <w:r>
              <w:rPr>
                <w:rFonts w:hint="default" w:ascii="Times New Roman" w:hAnsi="Times New Roman" w:eastAsia="宋体" w:cs="Times New Roman"/>
                <w:i w:val="0"/>
                <w:color w:val="000000"/>
                <w:kern w:val="0"/>
                <w:sz w:val="20"/>
                <w:szCs w:val="20"/>
                <w:highlight w:val="none"/>
                <w:u w:val="none"/>
                <w:lang w:val="en-US" w:eastAsia="zh-CN" w:bidi="ar"/>
              </w:rPr>
              <w:t>2</w:t>
            </w:r>
            <w:r>
              <w:rPr>
                <w:rFonts w:hint="default" w:ascii="Times New Roman" w:hAnsi="Times New Roman" w:cs="Times New Roman"/>
                <w:i w:val="0"/>
                <w:color w:val="000000"/>
                <w:kern w:val="0"/>
                <w:sz w:val="20"/>
                <w:szCs w:val="20"/>
                <w:highlight w:val="none"/>
                <w:u w:val="none"/>
                <w:lang w:val="en-US" w:eastAsia="zh-CN" w:bidi="ar"/>
              </w:rPr>
              <w:t>3009</w:t>
            </w:r>
          </w:p>
        </w:tc>
        <w:tc>
          <w:tcPr>
            <w:tcW w:w="3327" w:type="dxa"/>
            <w:vMerge w:val="restart"/>
            <w:tcBorders>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社会保险基金</w:t>
            </w:r>
            <w:r>
              <w:rPr>
                <w:rFonts w:hint="default" w:ascii="Times New Roman" w:hAnsi="Times New Roman" w:cs="Times New Roman"/>
                <w:i w:val="0"/>
                <w:color w:val="000000"/>
                <w:kern w:val="0"/>
                <w:sz w:val="20"/>
                <w:szCs w:val="20"/>
                <w:highlight w:val="none"/>
                <w:u w:val="none"/>
                <w:lang w:val="en-US" w:eastAsia="zh-CN" w:bidi="ar"/>
              </w:rPr>
              <w:t>年终结余</w:t>
            </w:r>
            <w:r>
              <w:rPr>
                <w:rFonts w:hint="default" w:ascii="Times New Roman" w:hAnsi="Times New Roman" w:eastAsia="宋体" w:cs="Times New Roman"/>
                <w:i w:val="0"/>
                <w:color w:val="000000"/>
                <w:kern w:val="0"/>
                <w:sz w:val="20"/>
                <w:szCs w:val="20"/>
                <w:highlight w:val="none"/>
                <w:u w:val="none"/>
                <w:lang w:val="en-US" w:eastAsia="zh-CN" w:bidi="ar"/>
              </w:rPr>
              <w:t>合计</w:t>
            </w:r>
          </w:p>
        </w:tc>
        <w:tc>
          <w:tcPr>
            <w:tcW w:w="1620" w:type="dxa"/>
            <w:vMerge w:val="restart"/>
            <w:tcBorders>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23770.17</w:t>
            </w:r>
          </w:p>
        </w:tc>
        <w:tc>
          <w:tcPr>
            <w:tcW w:w="1730" w:type="dxa"/>
            <w:vMerge w:val="restart"/>
            <w:tcBorders>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26337.72</w:t>
            </w:r>
          </w:p>
        </w:tc>
        <w:tc>
          <w:tcPr>
            <w:tcW w:w="1330" w:type="dxa"/>
            <w:vMerge w:val="restart"/>
            <w:tcBorders>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10.80%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4" w:hRule="atLeast"/>
          <w:jc w:val="center"/>
        </w:trPr>
        <w:tc>
          <w:tcPr>
            <w:tcW w:w="1393" w:type="dxa"/>
            <w:vMerge w:val="continue"/>
            <w:tcBorders>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3327" w:type="dxa"/>
            <w:vMerge w:val="continue"/>
            <w:tcBorders>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620" w:type="dxa"/>
            <w:vMerge w:val="continue"/>
            <w:tcBorders>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730" w:type="dxa"/>
            <w:vMerge w:val="continue"/>
            <w:tcBorders>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30" w:type="dxa"/>
            <w:vMerge w:val="continue"/>
            <w:tcBorders>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2300911</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一、企业职工基本养老保险基金</w:t>
            </w:r>
            <w:r>
              <w:rPr>
                <w:rFonts w:hint="default" w:ascii="Times New Roman" w:hAnsi="Times New Roman" w:cs="Times New Roman"/>
                <w:i w:val="0"/>
                <w:color w:val="000000"/>
                <w:kern w:val="0"/>
                <w:sz w:val="20"/>
                <w:szCs w:val="20"/>
                <w:highlight w:val="none"/>
                <w:u w:val="none"/>
                <w:lang w:val="en-US" w:eastAsia="zh-CN" w:bidi="ar"/>
              </w:rPr>
              <w:t>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4" w:hRule="atLeast"/>
          <w:jc w:val="center"/>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2300916</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二、机关事业基本养老保险基金</w:t>
            </w:r>
            <w:r>
              <w:rPr>
                <w:rFonts w:hint="default" w:ascii="Times New Roman" w:hAnsi="Times New Roman" w:cs="Times New Roman"/>
                <w:i w:val="0"/>
                <w:color w:val="000000"/>
                <w:kern w:val="0"/>
                <w:sz w:val="20"/>
                <w:szCs w:val="20"/>
                <w:highlight w:val="none"/>
                <w:u w:val="none"/>
                <w:lang w:val="en-US" w:eastAsia="zh-CN" w:bidi="ar"/>
              </w:rPr>
              <w:t>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jc w:val="center"/>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2300915</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三</w:t>
            </w:r>
            <w:r>
              <w:rPr>
                <w:rFonts w:hint="default" w:ascii="Times New Roman" w:hAnsi="Times New Roman" w:eastAsia="宋体" w:cs="Times New Roman"/>
                <w:i w:val="0"/>
                <w:color w:val="000000"/>
                <w:kern w:val="0"/>
                <w:sz w:val="20"/>
                <w:szCs w:val="20"/>
                <w:highlight w:val="none"/>
                <w:u w:val="none"/>
                <w:lang w:val="en-US" w:eastAsia="zh-CN" w:bidi="ar"/>
              </w:rPr>
              <w:t>、</w:t>
            </w:r>
            <w:r>
              <w:rPr>
                <w:rFonts w:hint="default" w:ascii="Times New Roman" w:hAnsi="Times New Roman" w:cs="Times New Roman"/>
                <w:i w:val="0"/>
                <w:color w:val="000000"/>
                <w:kern w:val="0"/>
                <w:sz w:val="20"/>
                <w:szCs w:val="20"/>
                <w:highlight w:val="none"/>
                <w:u w:val="none"/>
                <w:lang w:val="en-US" w:eastAsia="zh-CN" w:bidi="ar"/>
              </w:rPr>
              <w:t>城乡居民</w:t>
            </w:r>
            <w:r>
              <w:rPr>
                <w:rFonts w:hint="default" w:ascii="Times New Roman" w:hAnsi="Times New Roman" w:eastAsia="宋体" w:cs="Times New Roman"/>
                <w:i w:val="0"/>
                <w:color w:val="000000"/>
                <w:kern w:val="0"/>
                <w:sz w:val="20"/>
                <w:szCs w:val="20"/>
                <w:highlight w:val="none"/>
                <w:u w:val="none"/>
                <w:lang w:val="en-US" w:eastAsia="zh-CN" w:bidi="ar"/>
              </w:rPr>
              <w:t>基本养老保险基金</w:t>
            </w:r>
            <w:r>
              <w:rPr>
                <w:rFonts w:hint="default" w:ascii="Times New Roman" w:hAnsi="Times New Roman" w:cs="Times New Roman"/>
                <w:i w:val="0"/>
                <w:color w:val="000000"/>
                <w:kern w:val="0"/>
                <w:sz w:val="20"/>
                <w:szCs w:val="20"/>
                <w:highlight w:val="none"/>
                <w:u w:val="none"/>
                <w:lang w:val="en-US" w:eastAsia="zh-CN" w:bidi="ar"/>
              </w:rPr>
              <w:t>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23770.17</w:t>
            </w: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26337.72</w:t>
            </w: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10.80%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4" w:hRule="atLeast"/>
          <w:jc w:val="center"/>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2300913</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eastAsia="zh-CN"/>
              </w:rPr>
            </w:pPr>
            <w:r>
              <w:rPr>
                <w:rFonts w:hint="default" w:ascii="Times New Roman" w:hAnsi="Times New Roman" w:cs="Times New Roman"/>
                <w:i w:val="0"/>
                <w:color w:val="000000"/>
                <w:sz w:val="20"/>
                <w:szCs w:val="20"/>
                <w:highlight w:val="none"/>
                <w:u w:val="none"/>
                <w:lang w:eastAsia="zh-CN"/>
              </w:rPr>
              <w:t>四、职工基本医疗保险基金年终结余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jc w:val="center"/>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19" w:hRule="atLeast"/>
          <w:jc w:val="center"/>
        </w:trPr>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2300917</w:t>
            </w:r>
          </w:p>
        </w:tc>
        <w:tc>
          <w:tcPr>
            <w:tcW w:w="3327" w:type="dxa"/>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五、城乡居民基本医疗保险基金年终结余</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7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2300914</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六</w:t>
            </w:r>
            <w:r>
              <w:rPr>
                <w:rFonts w:hint="default" w:ascii="Times New Roman" w:hAnsi="Times New Roman" w:eastAsia="宋体" w:cs="Times New Roman"/>
                <w:i w:val="0"/>
                <w:color w:val="000000"/>
                <w:kern w:val="0"/>
                <w:sz w:val="20"/>
                <w:szCs w:val="20"/>
                <w:highlight w:val="none"/>
                <w:u w:val="none"/>
                <w:lang w:val="en-US" w:eastAsia="zh-CN" w:bidi="ar"/>
              </w:rPr>
              <w:t>、</w:t>
            </w:r>
            <w:r>
              <w:rPr>
                <w:rFonts w:hint="default" w:ascii="Times New Roman" w:hAnsi="Times New Roman" w:cs="Times New Roman"/>
                <w:i w:val="0"/>
                <w:color w:val="000000"/>
                <w:kern w:val="0"/>
                <w:sz w:val="20"/>
                <w:szCs w:val="20"/>
                <w:highlight w:val="none"/>
                <w:u w:val="none"/>
                <w:lang w:val="en-US" w:eastAsia="zh-CN" w:bidi="ar"/>
              </w:rPr>
              <w:t>工伤保险基金年终结余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jc w:val="center"/>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95" w:hRule="atLeast"/>
          <w:jc w:val="center"/>
        </w:trPr>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2300912</w:t>
            </w:r>
          </w:p>
        </w:tc>
        <w:tc>
          <w:tcPr>
            <w:tcW w:w="3327" w:type="dxa"/>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eastAsia="zh-CN"/>
              </w:rPr>
            </w:pPr>
            <w:r>
              <w:rPr>
                <w:rFonts w:hint="default" w:ascii="Times New Roman" w:hAnsi="Times New Roman" w:cs="Times New Roman"/>
                <w:i w:val="0"/>
                <w:color w:val="000000"/>
                <w:sz w:val="20"/>
                <w:szCs w:val="20"/>
                <w:highlight w:val="none"/>
                <w:u w:val="none"/>
                <w:lang w:eastAsia="zh-CN"/>
              </w:rPr>
              <w:t>七、失业保险基金年终结余</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p>
        </w:tc>
        <w:tc>
          <w:tcPr>
            <w:tcW w:w="17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p>
        </w:tc>
        <w:tc>
          <w:tcPr>
            <w:tcW w:w="13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p>
        </w:tc>
      </w:tr>
    </w:tbl>
    <w:p>
      <w:pPr>
        <w:wordWrap/>
        <w:jc w:val="both"/>
        <w:rPr>
          <w:rFonts w:hint="default" w:ascii="Times New Roman" w:hAnsi="Times New Roman" w:cs="Times New Roman"/>
          <w:b w:val="0"/>
          <w:bCs w:val="0"/>
          <w:sz w:val="22"/>
          <w:szCs w:val="22"/>
          <w:highlight w:val="none"/>
          <w:lang w:eastAsia="zh-Hans"/>
        </w:rPr>
      </w:pPr>
    </w:p>
    <w:p>
      <w:pPr>
        <w:rPr>
          <w:rFonts w:hint="default" w:ascii="Times New Roman" w:hAnsi="Times New Roman" w:cs="Times New Roman"/>
          <w:lang w:val="en-US" w:eastAsia="zh-Hans"/>
        </w:rPr>
      </w:pPr>
    </w:p>
    <w:p>
      <w:pPr>
        <w:pStyle w:val="7"/>
        <w:rPr>
          <w:rFonts w:hint="default" w:ascii="Times New Roman" w:hAnsi="Times New Roman" w:eastAsia="黑体" w:cs="Times New Roman"/>
          <w:kern w:val="0"/>
          <w:sz w:val="32"/>
          <w:szCs w:val="32"/>
          <w:highlight w:val="none"/>
          <w:lang w:val="en-US" w:eastAsia="zh-Hans"/>
        </w:rPr>
      </w:pPr>
    </w:p>
    <w:p>
      <w:pPr>
        <w:widowControl/>
        <w:jc w:val="center"/>
        <w:outlineLvl w:val="1"/>
        <w:rPr>
          <w:rFonts w:hint="default" w:ascii="Times New Roman" w:hAnsi="Times New Roman" w:eastAsia="方正黑体_GBK" w:cs="Times New Roman"/>
          <w:kern w:val="0"/>
          <w:sz w:val="36"/>
          <w:szCs w:val="36"/>
          <w:highlight w:val="none"/>
          <w:lang w:val="en-US" w:eastAsia="zh-Hans"/>
        </w:rPr>
      </w:pPr>
    </w:p>
    <w:p>
      <w:pPr>
        <w:widowControl/>
        <w:jc w:val="center"/>
        <w:outlineLvl w:val="1"/>
        <w:rPr>
          <w:rFonts w:hint="eastAsia" w:ascii="方正黑体_GBK" w:hAnsi="方正黑体_GBK" w:eastAsia="方正黑体_GBK" w:cs="方正黑体_GBK"/>
          <w:kern w:val="0"/>
          <w:sz w:val="36"/>
          <w:szCs w:val="36"/>
          <w:highlight w:val="none"/>
          <w:lang w:val="en-US" w:eastAsia="zh-Hans"/>
        </w:rPr>
      </w:pPr>
      <w:r>
        <w:rPr>
          <w:rFonts w:hint="default" w:ascii="Times New Roman" w:hAnsi="Times New Roman" w:eastAsia="方正黑体_GBK" w:cs="Times New Roman"/>
          <w:kern w:val="0"/>
          <w:sz w:val="36"/>
          <w:szCs w:val="36"/>
          <w:highlight w:val="none"/>
          <w:lang w:val="en-US" w:eastAsia="zh-Hans"/>
        </w:rPr>
        <w:t>第三部分</w:t>
      </w:r>
      <w:r>
        <w:rPr>
          <w:rFonts w:hint="default" w:ascii="Times New Roman" w:hAnsi="Times New Roman" w:eastAsia="方正黑体_GBK" w:cs="Times New Roman"/>
          <w:kern w:val="0"/>
          <w:sz w:val="36"/>
          <w:szCs w:val="36"/>
          <w:highlight w:val="none"/>
          <w:lang w:eastAsia="zh-Hans"/>
        </w:rPr>
        <w:t xml:space="preserve">  </w:t>
      </w:r>
      <w:r>
        <w:rPr>
          <w:rFonts w:hint="eastAsia" w:ascii="方正黑体_GBK" w:hAnsi="方正黑体_GBK" w:eastAsia="方正黑体_GBK" w:cs="方正黑体_GBK"/>
          <w:kern w:val="0"/>
          <w:sz w:val="36"/>
          <w:szCs w:val="36"/>
          <w:highlight w:val="none"/>
          <w:lang w:val="en-US" w:eastAsia="zh-CN"/>
        </w:rPr>
        <w:t>财政拨款</w:t>
      </w:r>
      <w:r>
        <w:rPr>
          <w:rFonts w:hint="eastAsia" w:ascii="方正黑体_GBK" w:hAnsi="方正黑体_GBK" w:eastAsia="方正黑体_GBK" w:cs="方正黑体_GBK"/>
          <w:kern w:val="0"/>
          <w:sz w:val="36"/>
          <w:szCs w:val="36"/>
          <w:highlight w:val="none"/>
          <w:lang w:val="en-US" w:eastAsia="zh-Hans"/>
        </w:rPr>
        <w:t>“三公”经费预算情况说明</w:t>
      </w:r>
    </w:p>
    <w:p>
      <w:pPr>
        <w:jc w:val="both"/>
        <w:rPr>
          <w:rFonts w:hint="default" w:ascii="Times New Roman" w:hAnsi="Times New Roman" w:cs="Times New Roman"/>
          <w:b w:val="0"/>
          <w:bCs w:val="0"/>
          <w:sz w:val="22"/>
          <w:szCs w:val="22"/>
          <w:highlight w:val="none"/>
          <w:lang w:val="en-US" w:eastAsia="zh-Hans"/>
        </w:rPr>
      </w:pPr>
    </w:p>
    <w:p>
      <w:pPr>
        <w:jc w:val="both"/>
        <w:rPr>
          <w:rFonts w:hint="default" w:ascii="Times New Roman" w:hAnsi="Times New Roman" w:cs="Times New Roman"/>
          <w:b w:val="0"/>
          <w:bCs w:val="0"/>
          <w:sz w:val="22"/>
          <w:szCs w:val="22"/>
          <w:highlight w:val="none"/>
          <w:lang w:val="en-US" w:eastAsia="zh-Hans"/>
        </w:rPr>
      </w:pPr>
    </w:p>
    <w:tbl>
      <w:tblPr>
        <w:tblStyle w:val="8"/>
        <w:tblW w:w="9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3250"/>
        <w:gridCol w:w="2090"/>
        <w:gridCol w:w="2110"/>
        <w:gridCol w:w="17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3250" w:type="dxa"/>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表2</w:t>
            </w:r>
            <w:r>
              <w:rPr>
                <w:rFonts w:hint="default" w:ascii="Times New Roman" w:hAnsi="Times New Roman" w:cs="Times New Roman"/>
                <w:i w:val="0"/>
                <w:color w:val="000000"/>
                <w:kern w:val="0"/>
                <w:sz w:val="20"/>
                <w:szCs w:val="20"/>
                <w:highlight w:val="none"/>
                <w:u w:val="none"/>
                <w:lang w:eastAsia="zh-CN" w:bidi="ar"/>
              </w:rPr>
              <w:t>7</w:t>
            </w:r>
          </w:p>
        </w:tc>
        <w:tc>
          <w:tcPr>
            <w:tcW w:w="209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211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1750" w:type="dxa"/>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9200" w:type="dxa"/>
            <w:gridSpan w:val="4"/>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2025</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cs="Times New Roman"/>
                <w:b/>
                <w:i w:val="0"/>
                <w:color w:val="000000"/>
                <w:kern w:val="0"/>
                <w:sz w:val="20"/>
                <w:szCs w:val="20"/>
                <w:highlight w:val="none"/>
                <w:u w:val="none"/>
                <w:lang w:val="en-US" w:eastAsia="zh-CN" w:bidi="ar"/>
              </w:rPr>
              <w:t>泽普县财政拨款</w:t>
            </w:r>
            <w:r>
              <w:rPr>
                <w:rFonts w:hint="default" w:ascii="Times New Roman" w:hAnsi="Times New Roman" w:eastAsia="宋体" w:cs="Times New Roman"/>
                <w:b/>
                <w:i w:val="0"/>
                <w:color w:val="000000"/>
                <w:kern w:val="0"/>
                <w:sz w:val="20"/>
                <w:szCs w:val="20"/>
                <w:highlight w:val="none"/>
                <w:u w:val="none"/>
                <w:lang w:val="en-US" w:eastAsia="zh-CN" w:bidi="ar"/>
              </w:rPr>
              <w:t>“三公”经费支出预算表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325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209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3860" w:type="dxa"/>
            <w:gridSpan w:val="2"/>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879" w:hRule="atLeast"/>
          <w:jc w:val="center"/>
        </w:trPr>
        <w:tc>
          <w:tcPr>
            <w:tcW w:w="32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 xml:space="preserve">        项目</w:t>
            </w:r>
          </w:p>
        </w:tc>
        <w:tc>
          <w:tcPr>
            <w:tcW w:w="20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2024</w:t>
            </w:r>
            <w:r>
              <w:rPr>
                <w:rFonts w:hint="default" w:ascii="Times New Roman" w:hAnsi="Times New Roman" w:eastAsia="宋体" w:cs="Times New Roman"/>
                <w:b/>
                <w:i w:val="0"/>
                <w:color w:val="000000"/>
                <w:kern w:val="0"/>
                <w:sz w:val="20"/>
                <w:szCs w:val="20"/>
                <w:highlight w:val="none"/>
                <w:u w:val="none"/>
                <w:lang w:val="en-US" w:eastAsia="zh-CN" w:bidi="ar"/>
              </w:rPr>
              <w:t>年预算数</w:t>
            </w:r>
          </w:p>
        </w:tc>
        <w:tc>
          <w:tcPr>
            <w:tcW w:w="21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2025</w:t>
            </w:r>
            <w:r>
              <w:rPr>
                <w:rFonts w:hint="default" w:ascii="Times New Roman" w:hAnsi="Times New Roman" w:eastAsia="宋体" w:cs="Times New Roman"/>
                <w:b/>
                <w:i w:val="0"/>
                <w:color w:val="000000"/>
                <w:kern w:val="0"/>
                <w:sz w:val="20"/>
                <w:szCs w:val="20"/>
                <w:highlight w:val="none"/>
                <w:u w:val="none"/>
                <w:lang w:val="en-US" w:eastAsia="zh-CN" w:bidi="ar"/>
              </w:rPr>
              <w:t>年预算数</w:t>
            </w:r>
          </w:p>
        </w:tc>
        <w:tc>
          <w:tcPr>
            <w:tcW w:w="17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比上年</w:t>
            </w:r>
            <w:r>
              <w:rPr>
                <w:rFonts w:hint="default" w:ascii="Times New Roman" w:hAnsi="Times New Roman" w:cs="Times New Roman"/>
                <w:b/>
                <w:i w:val="0"/>
                <w:color w:val="000000"/>
                <w:kern w:val="0"/>
                <w:sz w:val="20"/>
                <w:szCs w:val="20"/>
                <w:highlight w:val="none"/>
                <w:u w:val="none"/>
                <w:lang w:val="en-US" w:eastAsia="zh-CN" w:bidi="ar"/>
              </w:rPr>
              <w:t>预算数</w:t>
            </w:r>
            <w:r>
              <w:rPr>
                <w:rFonts w:hint="default" w:ascii="Times New Roman" w:hAnsi="Times New Roman" w:eastAsia="宋体" w:cs="Times New Roman"/>
                <w:b/>
                <w:i w:val="0"/>
                <w:color w:val="000000"/>
                <w:kern w:val="0"/>
                <w:sz w:val="20"/>
                <w:szCs w:val="20"/>
                <w:highlight w:val="none"/>
                <w:u w:val="none"/>
                <w:lang w:val="en-US" w:eastAsia="zh-CN" w:bidi="ar"/>
              </w:rPr>
              <w:t>增(减)%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0" w:hRule="atLeast"/>
          <w:jc w:val="center"/>
        </w:trPr>
        <w:tc>
          <w:tcPr>
            <w:tcW w:w="325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1.因公出国（境）费用</w:t>
            </w:r>
          </w:p>
        </w:tc>
        <w:tc>
          <w:tcPr>
            <w:tcW w:w="2090"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c>
          <w:tcPr>
            <w:tcW w:w="2110"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c>
          <w:tcPr>
            <w:tcW w:w="1750"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u w:val="none"/>
                <w:lang w:val="en-US" w:eastAsia="zh-CN"/>
              </w:rPr>
              <w:t>0.00</w:t>
            </w:r>
            <w:r>
              <w:rPr>
                <w:rFonts w:hint="default" w:ascii="Times New Roman" w:hAnsi="Times New Roman" w:cs="Times New Roman"/>
                <w:i w:val="0"/>
                <w:color w:val="000000"/>
                <w:sz w:val="20"/>
                <w:szCs w:val="20"/>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77" w:hRule="atLeast"/>
          <w:jc w:val="center"/>
        </w:trPr>
        <w:tc>
          <w:tcPr>
            <w:tcW w:w="32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209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211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0" w:hRule="atLeast"/>
          <w:jc w:val="center"/>
        </w:trPr>
        <w:tc>
          <w:tcPr>
            <w:tcW w:w="325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2.公务接待费</w:t>
            </w:r>
          </w:p>
        </w:tc>
        <w:tc>
          <w:tcPr>
            <w:tcW w:w="2090"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c>
          <w:tcPr>
            <w:tcW w:w="2110"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w:t>
            </w:r>
          </w:p>
        </w:tc>
        <w:tc>
          <w:tcPr>
            <w:tcW w:w="1750"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u w:val="none"/>
                <w:lang w:val="en-US" w:eastAsia="zh-CN"/>
              </w:rPr>
              <w:t>0.00</w:t>
            </w:r>
            <w:r>
              <w:rPr>
                <w:rFonts w:hint="default" w:ascii="Times New Roman" w:hAnsi="Times New Roman" w:cs="Times New Roman"/>
                <w:i w:val="0"/>
                <w:color w:val="000000"/>
                <w:sz w:val="20"/>
                <w:szCs w:val="20"/>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2" w:hRule="atLeast"/>
          <w:jc w:val="center"/>
        </w:trPr>
        <w:tc>
          <w:tcPr>
            <w:tcW w:w="32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209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211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jc w:val="center"/>
        </w:trPr>
        <w:tc>
          <w:tcPr>
            <w:tcW w:w="325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3.公务用车费</w:t>
            </w:r>
          </w:p>
        </w:tc>
        <w:tc>
          <w:tcPr>
            <w:tcW w:w="2090"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方正小标宋_GBK" w:cs="Times New Roman"/>
                <w:i w:val="0"/>
                <w:color w:val="000000"/>
                <w:sz w:val="20"/>
                <w:szCs w:val="20"/>
                <w:highlight w:val="none"/>
                <w:u w:val="none"/>
                <w:lang w:val="en-US" w:eastAsia="zh-CN"/>
              </w:rPr>
            </w:pPr>
            <w:r>
              <w:rPr>
                <w:rFonts w:hint="default" w:ascii="Times New Roman" w:hAnsi="Times New Roman" w:eastAsia="方正小标宋_GBK" w:cs="Times New Roman"/>
                <w:i w:val="0"/>
                <w:color w:val="000000"/>
                <w:sz w:val="20"/>
                <w:szCs w:val="20"/>
                <w:highlight w:val="none"/>
                <w:u w:val="none"/>
                <w:lang w:val="en-US" w:eastAsia="zh-CN"/>
              </w:rPr>
              <w:t>836</w:t>
            </w:r>
          </w:p>
        </w:tc>
        <w:tc>
          <w:tcPr>
            <w:tcW w:w="2110"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方正小标宋_GBK" w:cs="Times New Roman"/>
                <w:i w:val="0"/>
                <w:color w:val="000000"/>
                <w:sz w:val="20"/>
                <w:szCs w:val="20"/>
                <w:highlight w:val="none"/>
                <w:u w:val="none"/>
                <w:lang w:val="en-US" w:eastAsia="zh-CN"/>
              </w:rPr>
            </w:pPr>
            <w:r>
              <w:rPr>
                <w:rFonts w:hint="default" w:ascii="Times New Roman" w:hAnsi="Times New Roman" w:eastAsia="方正小标宋_GBK" w:cs="Times New Roman"/>
                <w:i w:val="0"/>
                <w:color w:val="000000"/>
                <w:sz w:val="20"/>
                <w:szCs w:val="20"/>
                <w:highlight w:val="none"/>
                <w:u w:val="none"/>
                <w:lang w:val="en-US" w:eastAsia="zh-CN"/>
              </w:rPr>
              <w:t>483</w:t>
            </w:r>
          </w:p>
        </w:tc>
        <w:tc>
          <w:tcPr>
            <w:tcW w:w="1750"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-42.22%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0" w:hRule="atLeast"/>
          <w:jc w:val="center"/>
        </w:trPr>
        <w:tc>
          <w:tcPr>
            <w:tcW w:w="32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209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方正小标宋_GBK" w:cs="Times New Roman"/>
                <w:i w:val="0"/>
                <w:color w:val="000000"/>
                <w:sz w:val="20"/>
                <w:szCs w:val="20"/>
                <w:highlight w:val="none"/>
                <w:u w:val="none"/>
              </w:rPr>
            </w:pPr>
          </w:p>
        </w:tc>
        <w:tc>
          <w:tcPr>
            <w:tcW w:w="211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方正小标宋_GBK" w:cs="Times New Roman"/>
                <w:i w:val="0"/>
                <w:color w:val="000000"/>
                <w:sz w:val="20"/>
                <w:szCs w:val="20"/>
                <w:highlight w:val="none"/>
                <w:u w:val="none"/>
              </w:rPr>
            </w:pPr>
          </w:p>
        </w:tc>
        <w:tc>
          <w:tcPr>
            <w:tcW w:w="1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jc w:val="center"/>
        </w:trPr>
        <w:tc>
          <w:tcPr>
            <w:tcW w:w="325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其中：（1）公务用车运行维护费</w:t>
            </w:r>
          </w:p>
        </w:tc>
        <w:tc>
          <w:tcPr>
            <w:tcW w:w="2090"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方正小标宋_GBK" w:cs="Times New Roman"/>
                <w:i w:val="0"/>
                <w:color w:val="000000"/>
                <w:sz w:val="20"/>
                <w:szCs w:val="20"/>
                <w:highlight w:val="none"/>
                <w:u w:val="none"/>
                <w:lang w:val="en-US" w:eastAsia="zh-CN"/>
              </w:rPr>
            </w:pPr>
            <w:r>
              <w:rPr>
                <w:rFonts w:hint="eastAsia" w:eastAsia="方正小标宋_GBK" w:cs="Times New Roman"/>
                <w:i w:val="0"/>
                <w:color w:val="000000"/>
                <w:sz w:val="20"/>
                <w:szCs w:val="20"/>
                <w:highlight w:val="none"/>
                <w:u w:val="none"/>
                <w:lang w:val="en-US" w:eastAsia="zh-CN"/>
              </w:rPr>
              <w:t>836</w:t>
            </w:r>
          </w:p>
        </w:tc>
        <w:tc>
          <w:tcPr>
            <w:tcW w:w="2110"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方正小标宋_GBK" w:cs="Times New Roman"/>
                <w:i w:val="0"/>
                <w:color w:val="000000"/>
                <w:sz w:val="20"/>
                <w:szCs w:val="20"/>
                <w:highlight w:val="none"/>
                <w:u w:val="none"/>
                <w:lang w:val="en-US" w:eastAsia="zh-CN"/>
              </w:rPr>
            </w:pPr>
            <w:r>
              <w:rPr>
                <w:rFonts w:hint="eastAsia" w:eastAsia="方正小标宋_GBK" w:cs="Times New Roman"/>
                <w:i w:val="0"/>
                <w:color w:val="000000"/>
                <w:sz w:val="20"/>
                <w:szCs w:val="20"/>
                <w:highlight w:val="none"/>
                <w:u w:val="none"/>
                <w:lang w:val="en-US" w:eastAsia="zh-CN"/>
              </w:rPr>
              <w:t>483</w:t>
            </w:r>
          </w:p>
        </w:tc>
        <w:tc>
          <w:tcPr>
            <w:tcW w:w="1750"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-42.22%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4" w:hRule="atLeast"/>
          <w:jc w:val="center"/>
        </w:trPr>
        <w:tc>
          <w:tcPr>
            <w:tcW w:w="32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209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方正小标宋_GBK" w:cs="Times New Roman"/>
                <w:i w:val="0"/>
                <w:color w:val="000000"/>
                <w:sz w:val="20"/>
                <w:szCs w:val="20"/>
                <w:highlight w:val="none"/>
                <w:u w:val="none"/>
              </w:rPr>
            </w:pPr>
          </w:p>
        </w:tc>
        <w:tc>
          <w:tcPr>
            <w:tcW w:w="211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方正小标宋_GBK" w:cs="Times New Roman"/>
                <w:i w:val="0"/>
                <w:color w:val="000000"/>
                <w:sz w:val="20"/>
                <w:szCs w:val="20"/>
                <w:highlight w:val="none"/>
                <w:u w:val="none"/>
              </w:rPr>
            </w:pPr>
          </w:p>
        </w:tc>
        <w:tc>
          <w:tcPr>
            <w:tcW w:w="1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0" w:hRule="atLeast"/>
          <w:jc w:val="center"/>
        </w:trPr>
        <w:tc>
          <w:tcPr>
            <w:tcW w:w="325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600" w:firstLineChars="30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（2）公务用车购置费</w:t>
            </w:r>
          </w:p>
        </w:tc>
        <w:tc>
          <w:tcPr>
            <w:tcW w:w="2090"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0</w:t>
            </w:r>
          </w:p>
        </w:tc>
        <w:tc>
          <w:tcPr>
            <w:tcW w:w="2110"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0</w:t>
            </w:r>
          </w:p>
        </w:tc>
        <w:tc>
          <w:tcPr>
            <w:tcW w:w="1750"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u w:val="none"/>
                <w:lang w:val="en-US" w:eastAsia="zh-CN"/>
              </w:rPr>
              <w:t>0.00</w:t>
            </w:r>
            <w:r>
              <w:rPr>
                <w:rFonts w:hint="default" w:ascii="Times New Roman" w:hAnsi="Times New Roman" w:cs="Times New Roman"/>
                <w:i w:val="0"/>
                <w:color w:val="000000"/>
                <w:sz w:val="20"/>
                <w:szCs w:val="20"/>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4" w:hRule="atLeast"/>
          <w:jc w:val="center"/>
        </w:trPr>
        <w:tc>
          <w:tcPr>
            <w:tcW w:w="32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209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211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24" w:hRule="atLeast"/>
          <w:jc w:val="center"/>
        </w:trPr>
        <w:tc>
          <w:tcPr>
            <w:tcW w:w="32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val="0"/>
                <w:i w:val="0"/>
                <w:color w:val="000000"/>
                <w:sz w:val="22"/>
                <w:szCs w:val="22"/>
                <w:highlight w:val="none"/>
                <w:u w:val="none"/>
              </w:rPr>
            </w:pPr>
            <w:r>
              <w:rPr>
                <w:rFonts w:hint="default" w:ascii="Times New Roman" w:hAnsi="Times New Roman" w:eastAsia="宋体" w:cs="Times New Roman"/>
                <w:b/>
                <w:bCs w:val="0"/>
                <w:i w:val="0"/>
                <w:color w:val="000000"/>
                <w:kern w:val="0"/>
                <w:sz w:val="22"/>
                <w:szCs w:val="22"/>
                <w:highlight w:val="none"/>
                <w:u w:val="none"/>
                <w:lang w:val="en-US" w:eastAsia="zh-CN" w:bidi="ar"/>
              </w:rPr>
              <w:t>合计</w:t>
            </w:r>
          </w:p>
        </w:tc>
        <w:tc>
          <w:tcPr>
            <w:tcW w:w="20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val="0"/>
                <w:i w:val="0"/>
                <w:color w:val="000000"/>
                <w:sz w:val="22"/>
                <w:szCs w:val="22"/>
                <w:highlight w:val="none"/>
                <w:u w:val="none"/>
              </w:rPr>
            </w:pPr>
            <w:r>
              <w:rPr>
                <w:rFonts w:hint="default" w:ascii="Times New Roman" w:hAnsi="Times New Roman" w:eastAsia="方正小标宋_GBK" w:cs="Times New Roman"/>
                <w:b/>
                <w:bCs w:val="0"/>
                <w:i w:val="0"/>
                <w:color w:val="000000"/>
                <w:sz w:val="22"/>
                <w:szCs w:val="22"/>
                <w:highlight w:val="none"/>
                <w:u w:val="none"/>
                <w:lang w:val="en-US" w:eastAsia="zh-CN"/>
              </w:rPr>
              <w:t>836</w:t>
            </w:r>
          </w:p>
        </w:tc>
        <w:tc>
          <w:tcPr>
            <w:tcW w:w="21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val="0"/>
                <w:i w:val="0"/>
                <w:color w:val="000000"/>
                <w:sz w:val="22"/>
                <w:szCs w:val="22"/>
                <w:highlight w:val="none"/>
                <w:u w:val="none"/>
              </w:rPr>
            </w:pPr>
            <w:r>
              <w:rPr>
                <w:rFonts w:hint="default" w:ascii="Times New Roman" w:hAnsi="Times New Roman" w:eastAsia="方正小标宋_GBK" w:cs="Times New Roman"/>
                <w:b/>
                <w:bCs w:val="0"/>
                <w:i w:val="0"/>
                <w:color w:val="000000"/>
                <w:sz w:val="22"/>
                <w:szCs w:val="22"/>
                <w:highlight w:val="none"/>
                <w:u w:val="none"/>
                <w:lang w:val="en-US" w:eastAsia="zh-CN"/>
              </w:rPr>
              <w:t>485</w:t>
            </w:r>
          </w:p>
        </w:tc>
        <w:tc>
          <w:tcPr>
            <w:tcW w:w="1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val="0"/>
                <w:i w:val="0"/>
                <w:color w:val="000000"/>
                <w:sz w:val="22"/>
                <w:szCs w:val="22"/>
                <w:highlight w:val="none"/>
                <w:u w:val="none"/>
              </w:rPr>
            </w:pPr>
            <w:r>
              <w:rPr>
                <w:rFonts w:hint="default" w:ascii="Times New Roman" w:hAnsi="Times New Roman" w:cs="Times New Roman"/>
                <w:b/>
                <w:bCs w:val="0"/>
                <w:i w:val="0"/>
                <w:color w:val="000000"/>
                <w:sz w:val="22"/>
                <w:szCs w:val="22"/>
                <w:highlight w:val="none"/>
                <w:u w:val="none"/>
                <w:lang w:val="en-US" w:eastAsia="zh-CN"/>
              </w:rPr>
              <w:t>-41.98%</w:t>
            </w:r>
          </w:p>
        </w:tc>
      </w:tr>
    </w:tbl>
    <w:tbl>
      <w:tblPr>
        <w:tblStyle w:val="9"/>
        <w:tblpPr w:leftFromText="180" w:rightFromText="180" w:vertAnchor="text" w:tblpX="10426" w:tblpY="3752"/>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6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 w:hRule="atLeast"/>
        </w:trPr>
        <w:tc>
          <w:tcPr>
            <w:tcW w:w="2612" w:type="dxa"/>
            <w:noWrap w:val="0"/>
            <w:vAlign w:val="top"/>
          </w:tcPr>
          <w:p>
            <w:pPr>
              <w:widowControl/>
              <w:jc w:val="center"/>
              <w:outlineLvl w:val="1"/>
              <w:rPr>
                <w:rFonts w:hint="default" w:ascii="Times New Roman" w:hAnsi="Times New Roman" w:eastAsia="黑体" w:cs="Times New Roman"/>
                <w:kern w:val="0"/>
                <w:sz w:val="32"/>
                <w:szCs w:val="32"/>
                <w:highlight w:val="none"/>
                <w:vertAlign w:val="baseline"/>
                <w:lang w:val="en-US" w:eastAsia="zh-Han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 w:hRule="atLeast"/>
        </w:trPr>
        <w:tc>
          <w:tcPr>
            <w:tcW w:w="2612" w:type="dxa"/>
            <w:noWrap w:val="0"/>
            <w:vAlign w:val="top"/>
          </w:tcPr>
          <w:p>
            <w:pPr>
              <w:widowControl/>
              <w:jc w:val="center"/>
              <w:outlineLvl w:val="1"/>
              <w:rPr>
                <w:rFonts w:hint="default" w:ascii="Times New Roman" w:hAnsi="Times New Roman" w:eastAsia="黑体" w:cs="Times New Roman"/>
                <w:kern w:val="0"/>
                <w:sz w:val="32"/>
                <w:szCs w:val="32"/>
                <w:highlight w:val="none"/>
                <w:vertAlign w:val="baseline"/>
                <w:lang w:val="en-US" w:eastAsia="zh-Hans"/>
              </w:rPr>
            </w:pPr>
          </w:p>
        </w:tc>
      </w:tr>
    </w:tbl>
    <w:tbl>
      <w:tblPr>
        <w:tblStyle w:val="9"/>
        <w:tblpPr w:leftFromText="180" w:rightFromText="180" w:vertAnchor="text" w:tblpX="10426" w:tblpY="3591"/>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5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 w:hRule="atLeast"/>
        </w:trPr>
        <w:tc>
          <w:tcPr>
            <w:tcW w:w="2520" w:type="dxa"/>
            <w:noWrap w:val="0"/>
            <w:vAlign w:val="top"/>
          </w:tcPr>
          <w:p>
            <w:pPr>
              <w:widowControl/>
              <w:jc w:val="center"/>
              <w:outlineLvl w:val="1"/>
              <w:rPr>
                <w:rFonts w:hint="default" w:ascii="Times New Roman" w:hAnsi="Times New Roman" w:eastAsia="黑体" w:cs="Times New Roman"/>
                <w:kern w:val="0"/>
                <w:sz w:val="32"/>
                <w:szCs w:val="32"/>
                <w:highlight w:val="none"/>
                <w:vertAlign w:val="baseline"/>
                <w:lang w:val="en-US" w:eastAsia="zh-Han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 w:hRule="atLeast"/>
        </w:trPr>
        <w:tc>
          <w:tcPr>
            <w:tcW w:w="2520" w:type="dxa"/>
            <w:noWrap w:val="0"/>
            <w:vAlign w:val="top"/>
          </w:tcPr>
          <w:p>
            <w:pPr>
              <w:widowControl/>
              <w:jc w:val="center"/>
              <w:outlineLvl w:val="1"/>
              <w:rPr>
                <w:rFonts w:hint="default" w:ascii="Times New Roman" w:hAnsi="Times New Roman" w:eastAsia="黑体" w:cs="Times New Roman"/>
                <w:kern w:val="0"/>
                <w:sz w:val="32"/>
                <w:szCs w:val="32"/>
                <w:highlight w:val="none"/>
                <w:vertAlign w:val="baseline"/>
                <w:lang w:val="en-US" w:eastAsia="zh-Hans"/>
              </w:rPr>
            </w:pPr>
          </w:p>
        </w:tc>
      </w:tr>
    </w:tbl>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bCs w:val="0"/>
          <w:spacing w:val="-4"/>
          <w:sz w:val="32"/>
          <w:szCs w:val="32"/>
          <w:highlight w:val="none"/>
          <w:lang w:val="en-US" w:eastAsia="zh-Hans"/>
        </w:rPr>
      </w:pP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bCs w:val="0"/>
          <w:spacing w:val="-4"/>
          <w:sz w:val="32"/>
          <w:szCs w:val="32"/>
          <w:highlight w:val="none"/>
          <w:lang w:val="en-US" w:eastAsia="zh-Hans"/>
        </w:rPr>
      </w:pPr>
      <w:r>
        <w:rPr>
          <w:rFonts w:hint="default" w:ascii="Times New Roman" w:hAnsi="Times New Roman" w:eastAsia="楷体_GB2312" w:cs="Times New Roman"/>
          <w:b/>
          <w:bCs w:val="0"/>
          <w:spacing w:val="-4"/>
          <w:sz w:val="32"/>
          <w:szCs w:val="32"/>
          <w:highlight w:val="none"/>
          <w:lang w:val="en-US" w:eastAsia="zh-Hans"/>
        </w:rPr>
        <w:t>一、</w:t>
      </w:r>
      <w:r>
        <w:rPr>
          <w:rFonts w:hint="default" w:ascii="Times New Roman" w:hAnsi="Times New Roman" w:eastAsia="楷体_GB2312" w:cs="Times New Roman"/>
          <w:b/>
          <w:bCs w:val="0"/>
          <w:spacing w:val="-4"/>
          <w:sz w:val="32"/>
          <w:szCs w:val="32"/>
          <w:highlight w:val="none"/>
          <w:lang w:eastAsia="zh-CN"/>
        </w:rPr>
        <w:t>泽普县</w:t>
      </w:r>
      <w:r>
        <w:rPr>
          <w:rFonts w:hint="default" w:ascii="Times New Roman" w:hAnsi="Times New Roman" w:eastAsia="楷体_GB2312" w:cs="Times New Roman"/>
          <w:b/>
          <w:bCs w:val="0"/>
          <w:spacing w:val="-4"/>
          <w:sz w:val="32"/>
          <w:szCs w:val="32"/>
          <w:highlight w:val="none"/>
          <w:lang w:val="en-US" w:eastAsia="zh-Hans"/>
        </w:rPr>
        <w:t>部门（单位）人员及车辆基本情况</w:t>
      </w:r>
    </w:p>
    <w:p>
      <w:pPr>
        <w:keepNext w:val="0"/>
        <w:keepLines w:val="0"/>
        <w:pageBreakBefore w:val="0"/>
        <w:widowControl w:val="0"/>
        <w:shd w:val="solid" w:color="FFFFFF" w:fill="auto"/>
        <w:kinsoku/>
        <w:wordWrap/>
        <w:overflowPunct/>
        <w:topLinePunct w:val="0"/>
        <w:autoSpaceDE/>
        <w:autoSpaceDN w:val="0"/>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Hans"/>
        </w:rPr>
      </w:pPr>
      <w:bookmarkStart w:id="5" w:name="OLE_LINK3"/>
      <w:r>
        <w:rPr>
          <w:rFonts w:hint="default" w:ascii="Times New Roman" w:hAnsi="Times New Roman" w:eastAsia="方正仿宋_GBK" w:cs="Times New Roman"/>
          <w:sz w:val="32"/>
          <w:szCs w:val="32"/>
          <w:highlight w:val="none"/>
          <w:lang w:val="en-US" w:eastAsia="zh-Hans"/>
        </w:rPr>
        <w:t>20</w:t>
      </w:r>
      <w:r>
        <w:rPr>
          <w:rFonts w:hint="default" w:ascii="Times New Roman" w:hAnsi="Times New Roman" w:eastAsia="方正仿宋_GBK" w:cs="Times New Roman"/>
          <w:sz w:val="32"/>
          <w:szCs w:val="32"/>
          <w:highlight w:val="none"/>
          <w:lang w:val="en-US" w:eastAsia="zh-CN"/>
        </w:rPr>
        <w:t>25</w:t>
      </w:r>
      <w:r>
        <w:rPr>
          <w:rFonts w:hint="default" w:ascii="Times New Roman" w:hAnsi="Times New Roman" w:eastAsia="方正仿宋_GBK" w:cs="Times New Roman"/>
          <w:sz w:val="32"/>
          <w:szCs w:val="32"/>
          <w:highlight w:val="none"/>
          <w:lang w:val="en-US" w:eastAsia="zh-Hans"/>
        </w:rPr>
        <w:t>年</w:t>
      </w:r>
      <w:r>
        <w:rPr>
          <w:rFonts w:hint="default" w:ascii="Times New Roman" w:hAnsi="Times New Roman" w:eastAsia="方正仿宋_GBK" w:cs="Times New Roman"/>
          <w:sz w:val="32"/>
          <w:szCs w:val="32"/>
          <w:highlight w:val="none"/>
          <w:lang w:val="en-US" w:eastAsia="zh-CN"/>
        </w:rPr>
        <w:t>泽普县</w:t>
      </w:r>
      <w:r>
        <w:rPr>
          <w:rFonts w:hint="default" w:ascii="Times New Roman" w:hAnsi="Times New Roman" w:eastAsia="方正仿宋_GBK" w:cs="Times New Roman"/>
          <w:sz w:val="32"/>
          <w:szCs w:val="32"/>
          <w:highlight w:val="none"/>
          <w:lang w:val="en-US" w:eastAsia="zh-Hans"/>
        </w:rPr>
        <w:t>共</w:t>
      </w:r>
      <w:r>
        <w:rPr>
          <w:rFonts w:hint="default" w:ascii="Times New Roman" w:hAnsi="Times New Roman" w:eastAsia="方正仿宋_GBK" w:cs="Times New Roman"/>
          <w:sz w:val="32"/>
          <w:szCs w:val="32"/>
          <w:highlight w:val="none"/>
          <w:lang w:val="en-US" w:eastAsia="zh-CN"/>
        </w:rPr>
        <w:t>68</w:t>
      </w:r>
      <w:r>
        <w:rPr>
          <w:rFonts w:hint="default" w:ascii="Times New Roman" w:hAnsi="Times New Roman" w:eastAsia="方正仿宋_GBK" w:cs="Times New Roman"/>
          <w:sz w:val="32"/>
          <w:szCs w:val="32"/>
          <w:highlight w:val="none"/>
          <w:lang w:val="en-US" w:eastAsia="zh-Hans"/>
        </w:rPr>
        <w:t>个一级预算单位，财政供养人员共计</w:t>
      </w:r>
      <w:r>
        <w:rPr>
          <w:rFonts w:hint="default" w:ascii="Times New Roman" w:hAnsi="Times New Roman" w:eastAsia="方正仿宋_GBK" w:cs="Times New Roman"/>
          <w:sz w:val="32"/>
          <w:szCs w:val="32"/>
          <w:highlight w:val="none"/>
          <w:lang w:val="en-US" w:eastAsia="zh-CN"/>
        </w:rPr>
        <w:t>7754</w:t>
      </w:r>
      <w:r>
        <w:rPr>
          <w:rFonts w:hint="default" w:ascii="Times New Roman" w:hAnsi="Times New Roman" w:eastAsia="方正仿宋_GBK" w:cs="Times New Roman"/>
          <w:sz w:val="32"/>
          <w:szCs w:val="32"/>
          <w:highlight w:val="none"/>
          <w:lang w:val="en-US" w:eastAsia="zh-Hans"/>
        </w:rPr>
        <w:t>人，人员构成：行政人员</w:t>
      </w:r>
      <w:r>
        <w:rPr>
          <w:rFonts w:hint="default" w:ascii="Times New Roman" w:hAnsi="Times New Roman" w:eastAsia="方正仿宋_GBK" w:cs="Times New Roman"/>
          <w:sz w:val="32"/>
          <w:szCs w:val="32"/>
          <w:highlight w:val="none"/>
          <w:lang w:val="en-US" w:eastAsia="zh-CN"/>
        </w:rPr>
        <w:t>1850</w:t>
      </w:r>
      <w:r>
        <w:rPr>
          <w:rFonts w:hint="default" w:ascii="Times New Roman" w:hAnsi="Times New Roman" w:eastAsia="方正仿宋_GBK" w:cs="Times New Roman"/>
          <w:sz w:val="32"/>
          <w:szCs w:val="32"/>
          <w:highlight w:val="none"/>
          <w:lang w:val="en-US" w:eastAsia="zh-Hans"/>
        </w:rPr>
        <w:t>人，事业人员</w:t>
      </w:r>
      <w:r>
        <w:rPr>
          <w:rFonts w:hint="default" w:ascii="Times New Roman" w:hAnsi="Times New Roman" w:eastAsia="方正仿宋_GBK" w:cs="Times New Roman"/>
          <w:sz w:val="32"/>
          <w:szCs w:val="32"/>
          <w:highlight w:val="none"/>
          <w:lang w:val="en-US" w:eastAsia="zh-CN"/>
        </w:rPr>
        <w:t>5904</w:t>
      </w:r>
      <w:r>
        <w:rPr>
          <w:rFonts w:hint="default" w:ascii="Times New Roman" w:hAnsi="Times New Roman" w:eastAsia="方正仿宋_GBK" w:cs="Times New Roman"/>
          <w:sz w:val="32"/>
          <w:szCs w:val="32"/>
          <w:highlight w:val="none"/>
          <w:lang w:val="en-US" w:eastAsia="zh-Hans"/>
        </w:rPr>
        <w:t>人，离休人员</w:t>
      </w:r>
      <w:r>
        <w:rPr>
          <w:rFonts w:hint="default" w:ascii="Times New Roman" w:hAnsi="Times New Roman" w:eastAsia="方正仿宋_GBK" w:cs="Times New Roman"/>
          <w:sz w:val="32"/>
          <w:szCs w:val="32"/>
          <w:highlight w:val="none"/>
          <w:lang w:val="en-US" w:eastAsia="zh-CN"/>
        </w:rPr>
        <w:t>0</w:t>
      </w:r>
      <w:r>
        <w:rPr>
          <w:rFonts w:hint="default" w:ascii="Times New Roman" w:hAnsi="Times New Roman" w:eastAsia="方正仿宋_GBK" w:cs="Times New Roman"/>
          <w:sz w:val="32"/>
          <w:szCs w:val="32"/>
          <w:highlight w:val="none"/>
          <w:lang w:val="en-US" w:eastAsia="zh-Hans"/>
        </w:rPr>
        <w:t>人（退休人员根据机关事业单位养老保险制度改革工作要求已经交由社保管理）；公务用车总数</w:t>
      </w:r>
      <w:r>
        <w:rPr>
          <w:rFonts w:hint="default" w:ascii="Times New Roman" w:hAnsi="Times New Roman" w:eastAsia="方正仿宋_GBK" w:cs="Times New Roman"/>
          <w:sz w:val="32"/>
          <w:szCs w:val="32"/>
          <w:highlight w:val="none"/>
          <w:lang w:val="en-US" w:eastAsia="zh-CN"/>
        </w:rPr>
        <w:t>523</w:t>
      </w:r>
      <w:r>
        <w:rPr>
          <w:rFonts w:hint="default" w:ascii="Times New Roman" w:hAnsi="Times New Roman" w:eastAsia="方正仿宋_GBK" w:cs="Times New Roman"/>
          <w:sz w:val="32"/>
          <w:szCs w:val="32"/>
          <w:highlight w:val="none"/>
          <w:lang w:val="en-US" w:eastAsia="zh-Hans"/>
        </w:rPr>
        <w:t>辆。</w:t>
      </w:r>
      <w:bookmarkEnd w:id="5"/>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bCs w:val="0"/>
          <w:spacing w:val="-4"/>
          <w:sz w:val="32"/>
          <w:szCs w:val="32"/>
          <w:highlight w:val="none"/>
          <w:lang w:val="en-US" w:eastAsia="zh-Hans"/>
        </w:rPr>
      </w:pPr>
      <w:r>
        <w:rPr>
          <w:rFonts w:hint="default" w:ascii="Times New Roman" w:hAnsi="Times New Roman" w:eastAsia="楷体_GB2312" w:cs="Times New Roman"/>
          <w:b/>
          <w:bCs w:val="0"/>
          <w:spacing w:val="-4"/>
          <w:sz w:val="32"/>
          <w:szCs w:val="32"/>
          <w:highlight w:val="none"/>
          <w:lang w:val="en-US" w:eastAsia="zh-CN"/>
        </w:rPr>
        <w:t>二、财政拨款</w:t>
      </w:r>
      <w:r>
        <w:rPr>
          <w:rFonts w:hint="default" w:ascii="Times New Roman" w:hAnsi="Times New Roman" w:eastAsia="楷体_GB2312" w:cs="Times New Roman"/>
          <w:b/>
          <w:bCs w:val="0"/>
          <w:spacing w:val="-4"/>
          <w:sz w:val="32"/>
          <w:szCs w:val="32"/>
          <w:highlight w:val="none"/>
          <w:lang w:val="en-US" w:eastAsia="zh-Hans"/>
        </w:rPr>
        <w:t>“三公”经费说明</w:t>
      </w:r>
    </w:p>
    <w:p>
      <w:pPr>
        <w:keepNext w:val="0"/>
        <w:keepLines w:val="0"/>
        <w:pageBreakBefore w:val="0"/>
        <w:widowControl w:val="0"/>
        <w:shd w:val="solid" w:color="FFFFFF" w:fill="auto"/>
        <w:kinsoku/>
        <w:wordWrap/>
        <w:overflowPunct/>
        <w:topLinePunct w:val="0"/>
        <w:autoSpaceDE/>
        <w:autoSpaceDN w:val="0"/>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 xml:space="preserve">1、因公出国（境）费用：反应因公出国（境）的住宿费、差旅费、伙食补助费、杂费、培训费等支出。包括：因公出国（境）产生的费用等。 </w:t>
      </w:r>
    </w:p>
    <w:p>
      <w:pPr>
        <w:keepNext w:val="0"/>
        <w:keepLines w:val="0"/>
        <w:pageBreakBefore w:val="0"/>
        <w:widowControl w:val="0"/>
        <w:shd w:val="solid" w:color="FFFFFF" w:fill="auto"/>
        <w:kinsoku/>
        <w:wordWrap/>
        <w:overflowPunct/>
        <w:topLinePunct w:val="0"/>
        <w:autoSpaceDE/>
        <w:autoSpaceDN w:val="0"/>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 xml:space="preserve">2、公务接待费：反应单位按规定开支的各类公务接待支出等。包括接待费用等。 </w:t>
      </w:r>
    </w:p>
    <w:p>
      <w:pPr>
        <w:keepNext w:val="0"/>
        <w:keepLines w:val="0"/>
        <w:pageBreakBefore w:val="0"/>
        <w:widowControl w:val="0"/>
        <w:shd w:val="solid" w:color="FFFFFF" w:fill="auto"/>
        <w:kinsoku/>
        <w:wordWrap/>
        <w:overflowPunct/>
        <w:topLinePunct w:val="0"/>
        <w:autoSpaceDE/>
        <w:autoSpaceDN w:val="0"/>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 xml:space="preserve">3、公务用车购置：反应单位用车购置费。包括车辆购置税费等。 </w:t>
      </w:r>
    </w:p>
    <w:p>
      <w:pPr>
        <w:keepNext w:val="0"/>
        <w:keepLines w:val="0"/>
        <w:pageBreakBefore w:val="0"/>
        <w:widowControl w:val="0"/>
        <w:shd w:val="solid" w:color="FFFFFF" w:fill="auto"/>
        <w:kinsoku/>
        <w:wordWrap/>
        <w:overflowPunct/>
        <w:topLinePunct w:val="0"/>
        <w:autoSpaceDE/>
        <w:autoSpaceDN w:val="0"/>
        <w:bidi w:val="0"/>
        <w:spacing w:line="620" w:lineRule="exact"/>
        <w:ind w:firstLine="640" w:firstLineChars="200"/>
        <w:textAlignment w:val="auto"/>
        <w:rPr>
          <w:rFonts w:hint="default" w:ascii="Times New Roman" w:hAnsi="Times New Roman" w:eastAsia="仿宋_GB2312" w:cs="Times New Roman"/>
          <w:color w:val="000000"/>
          <w:kern w:val="0"/>
          <w:sz w:val="32"/>
          <w:szCs w:val="32"/>
          <w:lang w:eastAsia="zh-Hans" w:bidi="ar"/>
        </w:rPr>
      </w:pPr>
      <w:r>
        <w:rPr>
          <w:rFonts w:hint="default" w:ascii="Times New Roman" w:hAnsi="Times New Roman" w:eastAsia="方正仿宋_GBK" w:cs="Times New Roman"/>
          <w:sz w:val="32"/>
          <w:szCs w:val="32"/>
          <w:highlight w:val="none"/>
          <w:lang w:val="en-US" w:eastAsia="zh-CN"/>
        </w:rPr>
        <w:t>4、公务用车运行维护费：反映单位公务用车租用费、燃料费、过路过桥费、保险费、安全奖励费用等支出。</w:t>
      </w: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bCs w:val="0"/>
          <w:spacing w:val="-4"/>
          <w:sz w:val="32"/>
          <w:szCs w:val="32"/>
          <w:highlight w:val="none"/>
          <w:lang w:val="en-US" w:eastAsia="zh-Hans"/>
        </w:rPr>
      </w:pPr>
      <w:r>
        <w:rPr>
          <w:rFonts w:hint="default" w:ascii="Times New Roman" w:hAnsi="Times New Roman" w:eastAsia="楷体_GB2312" w:cs="Times New Roman"/>
          <w:b/>
          <w:bCs w:val="0"/>
          <w:spacing w:val="-4"/>
          <w:sz w:val="32"/>
          <w:szCs w:val="32"/>
          <w:highlight w:val="none"/>
          <w:lang w:val="en-US" w:eastAsia="zh-CN"/>
        </w:rPr>
        <w:t>三、财政拨款</w:t>
      </w:r>
      <w:r>
        <w:rPr>
          <w:rFonts w:hint="default" w:ascii="Times New Roman" w:hAnsi="Times New Roman" w:eastAsia="楷体_GB2312" w:cs="Times New Roman"/>
          <w:b/>
          <w:bCs w:val="0"/>
          <w:spacing w:val="-4"/>
          <w:sz w:val="32"/>
          <w:szCs w:val="32"/>
          <w:highlight w:val="none"/>
          <w:lang w:val="en-US" w:eastAsia="zh-Hans"/>
        </w:rPr>
        <w:t>“三公”经费预算总额情况</w:t>
      </w: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43" w:firstLineChars="200"/>
        <w:jc w:val="both"/>
        <w:textAlignment w:val="auto"/>
        <w:outlineLvl w:val="9"/>
        <w:rPr>
          <w:rFonts w:hint="default" w:ascii="Times New Roman" w:hAnsi="Times New Roman" w:eastAsia="仿宋_GB2312" w:cs="Times New Roman"/>
          <w:b/>
          <w:bCs/>
          <w:color w:val="000000"/>
          <w:kern w:val="0"/>
          <w:sz w:val="32"/>
          <w:szCs w:val="32"/>
          <w:highlight w:val="none"/>
          <w:lang w:val="en-US" w:eastAsia="zh-Hans" w:bidi="ar"/>
        </w:rPr>
      </w:pPr>
      <w:r>
        <w:rPr>
          <w:rFonts w:hint="default" w:ascii="Times New Roman" w:hAnsi="Times New Roman" w:eastAsia="仿宋_GB2312" w:cs="Times New Roman"/>
          <w:b/>
          <w:bCs/>
          <w:color w:val="000000"/>
          <w:kern w:val="0"/>
          <w:sz w:val="32"/>
          <w:szCs w:val="32"/>
          <w:highlight w:val="none"/>
          <w:lang w:eastAsia="zh-Hans" w:bidi="ar"/>
        </w:rPr>
        <w:t>1</w:t>
      </w:r>
      <w:r>
        <w:rPr>
          <w:rFonts w:hint="default" w:ascii="Times New Roman" w:hAnsi="Times New Roman" w:eastAsia="仿宋_GB2312" w:cs="Times New Roman"/>
          <w:b/>
          <w:bCs/>
          <w:color w:val="000000"/>
          <w:kern w:val="0"/>
          <w:sz w:val="32"/>
          <w:szCs w:val="32"/>
          <w:highlight w:val="none"/>
          <w:lang w:val="en-US" w:eastAsia="zh-CN" w:bidi="ar"/>
        </w:rPr>
        <w:t>.</w:t>
      </w:r>
      <w:r>
        <w:rPr>
          <w:rFonts w:hint="default" w:ascii="Times New Roman" w:hAnsi="Times New Roman" w:eastAsia="仿宋_GB2312" w:cs="Times New Roman"/>
          <w:b/>
          <w:bCs/>
          <w:color w:val="000000"/>
          <w:kern w:val="0"/>
          <w:sz w:val="32"/>
          <w:szCs w:val="32"/>
          <w:highlight w:val="none"/>
          <w:lang w:val="en-US" w:eastAsia="zh-Hans" w:bidi="ar"/>
        </w:rPr>
        <w:t>基本情况</w:t>
      </w:r>
    </w:p>
    <w:p>
      <w:pPr>
        <w:keepNext w:val="0"/>
        <w:keepLines w:val="0"/>
        <w:pageBreakBefore w:val="0"/>
        <w:widowControl w:val="0"/>
        <w:shd w:val="solid" w:color="FFFFFF" w:fill="auto"/>
        <w:kinsoku/>
        <w:wordWrap/>
        <w:overflowPunct/>
        <w:topLinePunct w:val="0"/>
        <w:autoSpaceDE/>
        <w:autoSpaceDN w:val="0"/>
        <w:bidi w:val="0"/>
        <w:spacing w:line="620" w:lineRule="exact"/>
        <w:ind w:firstLine="640" w:firstLineChars="200"/>
        <w:textAlignment w:val="auto"/>
        <w:rPr>
          <w:rFonts w:hint="default"/>
          <w:lang w:val="en-US" w:eastAsia="zh-CN"/>
        </w:rPr>
      </w:pPr>
      <w:r>
        <w:rPr>
          <w:rFonts w:hint="default" w:ascii="Times New Roman" w:hAnsi="Times New Roman" w:eastAsia="方正仿宋_GBK" w:cs="Times New Roman"/>
          <w:sz w:val="32"/>
          <w:szCs w:val="32"/>
          <w:highlight w:val="none"/>
          <w:lang w:val="en-US" w:eastAsia="zh-Hans"/>
        </w:rPr>
        <w:t>20</w:t>
      </w:r>
      <w:r>
        <w:rPr>
          <w:rFonts w:hint="default" w:ascii="Times New Roman" w:hAnsi="Times New Roman" w:eastAsia="方正仿宋_GBK" w:cs="Times New Roman"/>
          <w:sz w:val="32"/>
          <w:szCs w:val="32"/>
          <w:highlight w:val="none"/>
          <w:lang w:val="en-US" w:eastAsia="zh-CN"/>
        </w:rPr>
        <w:t>25</w:t>
      </w:r>
      <w:r>
        <w:rPr>
          <w:rFonts w:hint="default" w:ascii="Times New Roman" w:hAnsi="Times New Roman" w:eastAsia="方正仿宋_GBK" w:cs="Times New Roman"/>
          <w:sz w:val="32"/>
          <w:szCs w:val="32"/>
          <w:highlight w:val="none"/>
          <w:lang w:val="en-US" w:eastAsia="zh-Hans"/>
        </w:rPr>
        <w:t>年</w:t>
      </w:r>
      <w:r>
        <w:rPr>
          <w:rFonts w:hint="default" w:ascii="Times New Roman" w:hAnsi="Times New Roman" w:eastAsia="方正仿宋_GBK" w:cs="Times New Roman"/>
          <w:sz w:val="32"/>
          <w:szCs w:val="32"/>
          <w:highlight w:val="none"/>
          <w:lang w:val="en-US" w:eastAsia="zh-CN"/>
        </w:rPr>
        <w:t>泽普县</w:t>
      </w:r>
      <w:r>
        <w:rPr>
          <w:rFonts w:hint="default" w:ascii="Times New Roman" w:hAnsi="Times New Roman" w:eastAsia="方正仿宋_GBK" w:cs="Times New Roman"/>
          <w:sz w:val="32"/>
          <w:szCs w:val="32"/>
          <w:highlight w:val="none"/>
          <w:lang w:val="en-US" w:eastAsia="zh-Hans"/>
        </w:rPr>
        <w:t>“三公”经费预算支出</w:t>
      </w:r>
      <w:r>
        <w:rPr>
          <w:rFonts w:hint="default" w:ascii="Times New Roman" w:hAnsi="Times New Roman" w:eastAsia="方正仿宋_GBK" w:cs="Times New Roman"/>
          <w:sz w:val="32"/>
          <w:szCs w:val="32"/>
          <w:highlight w:val="none"/>
          <w:lang w:val="en-US" w:eastAsia="zh-CN"/>
        </w:rPr>
        <w:t>485</w:t>
      </w:r>
      <w:r>
        <w:rPr>
          <w:rFonts w:hint="default" w:ascii="Times New Roman" w:hAnsi="Times New Roman" w:eastAsia="方正仿宋_GBK" w:cs="Times New Roman"/>
          <w:sz w:val="32"/>
          <w:szCs w:val="32"/>
          <w:highlight w:val="none"/>
          <w:lang w:val="en-US" w:eastAsia="zh-Hans"/>
        </w:rPr>
        <w:t>万元，较上年</w:t>
      </w:r>
      <w:r>
        <w:rPr>
          <w:rFonts w:hint="default" w:ascii="Times New Roman" w:hAnsi="Times New Roman" w:eastAsia="方正仿宋_GBK" w:cs="Times New Roman"/>
          <w:sz w:val="32"/>
          <w:szCs w:val="32"/>
          <w:highlight w:val="none"/>
          <w:lang w:val="en-US" w:eastAsia="zh-CN"/>
        </w:rPr>
        <w:t>836</w:t>
      </w:r>
      <w:r>
        <w:rPr>
          <w:rFonts w:hint="default" w:ascii="Times New Roman" w:hAnsi="Times New Roman" w:eastAsia="方正仿宋_GBK" w:cs="Times New Roman"/>
          <w:sz w:val="32"/>
          <w:szCs w:val="32"/>
          <w:highlight w:val="none"/>
          <w:lang w:val="en-US" w:eastAsia="zh-Hans"/>
        </w:rPr>
        <w:t>万元，下降</w:t>
      </w:r>
      <w:r>
        <w:rPr>
          <w:rFonts w:hint="default" w:ascii="Times New Roman" w:hAnsi="Times New Roman" w:eastAsia="方正仿宋_GBK" w:cs="Times New Roman"/>
          <w:sz w:val="32"/>
          <w:szCs w:val="32"/>
          <w:highlight w:val="none"/>
          <w:lang w:val="en-US" w:eastAsia="zh-CN"/>
        </w:rPr>
        <w:t>41.98%</w:t>
      </w:r>
      <w:r>
        <w:rPr>
          <w:rFonts w:hint="default" w:ascii="Times New Roman" w:hAnsi="Times New Roman" w:eastAsia="方正仿宋_GBK" w:cs="Times New Roman"/>
          <w:sz w:val="32"/>
          <w:szCs w:val="32"/>
          <w:highlight w:val="none"/>
          <w:lang w:val="en-US" w:eastAsia="zh-Hans"/>
        </w:rPr>
        <w:t>，其中公务接待费</w:t>
      </w:r>
      <w:r>
        <w:rPr>
          <w:rFonts w:hint="default" w:ascii="Times New Roman" w:hAnsi="Times New Roman" w:eastAsia="方正仿宋_GBK" w:cs="Times New Roman"/>
          <w:sz w:val="32"/>
          <w:szCs w:val="32"/>
          <w:highlight w:val="none"/>
          <w:lang w:val="en-US" w:eastAsia="zh-CN"/>
        </w:rPr>
        <w:t>2</w:t>
      </w:r>
      <w:r>
        <w:rPr>
          <w:rFonts w:hint="default" w:ascii="Times New Roman" w:hAnsi="Times New Roman" w:eastAsia="方正仿宋_GBK" w:cs="Times New Roman"/>
          <w:sz w:val="32"/>
          <w:szCs w:val="32"/>
          <w:highlight w:val="none"/>
          <w:lang w:val="en-US" w:eastAsia="zh-Hans"/>
        </w:rPr>
        <w:t>万元，因公出国（境）费用</w:t>
      </w:r>
      <w:r>
        <w:rPr>
          <w:rFonts w:hint="default" w:ascii="Times New Roman" w:hAnsi="Times New Roman" w:eastAsia="方正仿宋_GBK" w:cs="Times New Roman"/>
          <w:sz w:val="32"/>
          <w:szCs w:val="32"/>
          <w:highlight w:val="none"/>
          <w:lang w:val="en-US" w:eastAsia="zh-CN"/>
        </w:rPr>
        <w:t>0</w:t>
      </w:r>
      <w:r>
        <w:rPr>
          <w:rFonts w:hint="default" w:ascii="Times New Roman" w:hAnsi="Times New Roman" w:eastAsia="方正仿宋_GBK" w:cs="Times New Roman"/>
          <w:sz w:val="32"/>
          <w:szCs w:val="32"/>
          <w:highlight w:val="none"/>
          <w:lang w:val="en-US" w:eastAsia="zh-Hans"/>
        </w:rPr>
        <w:t>万元</w:t>
      </w:r>
      <w:r>
        <w:rPr>
          <w:rFonts w:hint="eastAsia" w:eastAsia="方正仿宋_GBK" w:cs="Times New Roman"/>
          <w:sz w:val="32"/>
          <w:szCs w:val="32"/>
          <w:highlight w:val="none"/>
          <w:lang w:val="en-US" w:eastAsia="zh-CN"/>
        </w:rPr>
        <w:t>,</w:t>
      </w:r>
      <w:r>
        <w:rPr>
          <w:rFonts w:hint="default" w:ascii="Times New Roman" w:hAnsi="Times New Roman" w:eastAsia="方正仿宋_GBK" w:cs="Times New Roman"/>
          <w:sz w:val="32"/>
          <w:szCs w:val="32"/>
          <w:highlight w:val="none"/>
          <w:lang w:val="en-US" w:eastAsia="zh-Hans"/>
        </w:rPr>
        <w:t>公车费用</w:t>
      </w:r>
      <w:r>
        <w:rPr>
          <w:rFonts w:hint="default" w:ascii="Times New Roman" w:hAnsi="Times New Roman" w:eastAsia="方正仿宋_GBK" w:cs="Times New Roman"/>
          <w:sz w:val="32"/>
          <w:szCs w:val="32"/>
          <w:highlight w:val="none"/>
          <w:lang w:val="en-US" w:eastAsia="zh-CN"/>
        </w:rPr>
        <w:t>483</w:t>
      </w:r>
      <w:r>
        <w:rPr>
          <w:rFonts w:hint="default" w:ascii="Times New Roman" w:hAnsi="Times New Roman" w:eastAsia="方正仿宋_GBK" w:cs="Times New Roman"/>
          <w:sz w:val="32"/>
          <w:szCs w:val="32"/>
          <w:highlight w:val="none"/>
          <w:lang w:val="en-US" w:eastAsia="zh-Hans"/>
        </w:rPr>
        <w:t>万元</w:t>
      </w:r>
      <w:r>
        <w:rPr>
          <w:rFonts w:hint="eastAsia" w:ascii="Times New Roman" w:hAnsi="Times New Roman" w:eastAsia="方正仿宋_GBK" w:cs="Times New Roman"/>
          <w:sz w:val="32"/>
          <w:szCs w:val="32"/>
          <w:highlight w:val="none"/>
          <w:lang w:val="en-US" w:eastAsia="zh-CN"/>
        </w:rPr>
        <w:t>（包括车辆购置费</w:t>
      </w:r>
      <w:r>
        <w:rPr>
          <w:rFonts w:hint="eastAsia" w:eastAsia="方正仿宋_GBK" w:cs="Times New Roman"/>
          <w:sz w:val="32"/>
          <w:szCs w:val="32"/>
          <w:highlight w:val="none"/>
          <w:lang w:val="en-US" w:eastAsia="zh-CN"/>
        </w:rPr>
        <w:t>0</w:t>
      </w:r>
      <w:r>
        <w:rPr>
          <w:rFonts w:hint="eastAsia" w:ascii="Times New Roman" w:hAnsi="Times New Roman" w:eastAsia="方正仿宋_GBK" w:cs="Times New Roman"/>
          <w:sz w:val="32"/>
          <w:szCs w:val="32"/>
          <w:highlight w:val="none"/>
          <w:lang w:val="en-US" w:eastAsia="zh-CN"/>
        </w:rPr>
        <w:t>万元，车辆运行及维护费</w:t>
      </w:r>
      <w:r>
        <w:rPr>
          <w:rFonts w:hint="eastAsia" w:eastAsia="方正仿宋_GBK" w:cs="Times New Roman"/>
          <w:sz w:val="32"/>
          <w:szCs w:val="32"/>
          <w:highlight w:val="none"/>
          <w:lang w:val="en-US" w:eastAsia="zh-CN"/>
        </w:rPr>
        <w:t>483</w:t>
      </w:r>
      <w:r>
        <w:rPr>
          <w:rFonts w:hint="eastAsia" w:ascii="Times New Roman" w:hAnsi="Times New Roman" w:eastAsia="方正仿宋_GBK" w:cs="Times New Roman"/>
          <w:sz w:val="32"/>
          <w:szCs w:val="32"/>
          <w:highlight w:val="none"/>
          <w:lang w:val="en-US" w:eastAsia="zh-CN"/>
        </w:rPr>
        <w:t>万元）</w:t>
      </w:r>
      <w:r>
        <w:rPr>
          <w:rFonts w:hint="eastAsia" w:eastAsia="方正仿宋_GBK" w:cs="Times New Roman"/>
          <w:sz w:val="32"/>
          <w:szCs w:val="32"/>
          <w:highlight w:val="none"/>
          <w:lang w:val="en-US" w:eastAsia="zh-CN"/>
        </w:rPr>
        <w:t>。</w:t>
      </w: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43" w:firstLineChars="200"/>
        <w:jc w:val="both"/>
        <w:textAlignment w:val="auto"/>
        <w:outlineLvl w:val="9"/>
        <w:rPr>
          <w:rFonts w:hint="default" w:ascii="Times New Roman" w:hAnsi="Times New Roman" w:eastAsia="仿宋_GB2312" w:cs="Times New Roman"/>
          <w:b/>
          <w:bCs/>
          <w:color w:val="000000"/>
          <w:kern w:val="0"/>
          <w:sz w:val="32"/>
          <w:szCs w:val="32"/>
          <w:highlight w:val="none"/>
          <w:lang w:val="en-US" w:eastAsia="zh-Hans" w:bidi="ar"/>
        </w:rPr>
      </w:pPr>
      <w:r>
        <w:rPr>
          <w:rFonts w:hint="default" w:ascii="Times New Roman" w:hAnsi="Times New Roman" w:eastAsia="仿宋_GB2312" w:cs="Times New Roman"/>
          <w:b/>
          <w:bCs/>
          <w:color w:val="000000"/>
          <w:kern w:val="0"/>
          <w:sz w:val="32"/>
          <w:szCs w:val="32"/>
          <w:highlight w:val="none"/>
          <w:lang w:eastAsia="zh-Hans" w:bidi="ar"/>
        </w:rPr>
        <w:t>2</w:t>
      </w:r>
      <w:r>
        <w:rPr>
          <w:rFonts w:hint="default" w:ascii="Times New Roman" w:hAnsi="Times New Roman" w:eastAsia="仿宋_GB2312" w:cs="Times New Roman"/>
          <w:b/>
          <w:bCs/>
          <w:color w:val="000000"/>
          <w:kern w:val="0"/>
          <w:sz w:val="32"/>
          <w:szCs w:val="32"/>
          <w:highlight w:val="none"/>
          <w:lang w:eastAsia="zh-CN" w:bidi="ar"/>
        </w:rPr>
        <w:t>.</w:t>
      </w:r>
      <w:r>
        <w:rPr>
          <w:rFonts w:hint="default" w:ascii="Times New Roman" w:hAnsi="Times New Roman" w:eastAsia="仿宋_GB2312" w:cs="Times New Roman"/>
          <w:b/>
          <w:bCs/>
          <w:color w:val="000000"/>
          <w:kern w:val="0"/>
          <w:sz w:val="32"/>
          <w:szCs w:val="32"/>
          <w:highlight w:val="none"/>
          <w:lang w:val="en-US" w:eastAsia="zh-Hans" w:bidi="ar"/>
        </w:rPr>
        <w:t>增减变化原因</w:t>
      </w:r>
    </w:p>
    <w:p>
      <w:pPr>
        <w:keepNext w:val="0"/>
        <w:keepLines w:val="0"/>
        <w:pageBreakBefore w:val="0"/>
        <w:widowControl w:val="0"/>
        <w:shd w:val="solid" w:color="FFFFFF" w:fill="auto"/>
        <w:kinsoku/>
        <w:wordWrap/>
        <w:overflowPunct/>
        <w:topLinePunct w:val="0"/>
        <w:autoSpaceDE/>
        <w:autoSpaceDN w:val="0"/>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Hans"/>
        </w:rPr>
      </w:pPr>
      <w:r>
        <w:rPr>
          <w:rFonts w:hint="default" w:ascii="Times New Roman" w:hAnsi="Times New Roman" w:eastAsia="方正仿宋_GBK" w:cs="Times New Roman"/>
          <w:sz w:val="32"/>
          <w:szCs w:val="32"/>
          <w:highlight w:val="none"/>
          <w:lang w:val="en-US" w:eastAsia="zh-Hans"/>
        </w:rPr>
        <w:t>20</w:t>
      </w:r>
      <w:r>
        <w:rPr>
          <w:rFonts w:hint="default" w:ascii="Times New Roman" w:hAnsi="Times New Roman" w:eastAsia="方正仿宋_GBK" w:cs="Times New Roman"/>
          <w:sz w:val="32"/>
          <w:szCs w:val="32"/>
          <w:highlight w:val="none"/>
          <w:lang w:val="en-US" w:eastAsia="zh-CN"/>
        </w:rPr>
        <w:t>25</w:t>
      </w:r>
      <w:r>
        <w:rPr>
          <w:rFonts w:hint="default" w:ascii="Times New Roman" w:hAnsi="Times New Roman" w:eastAsia="方正仿宋_GBK" w:cs="Times New Roman"/>
          <w:sz w:val="32"/>
          <w:szCs w:val="32"/>
          <w:highlight w:val="none"/>
          <w:lang w:val="en-US" w:eastAsia="zh-Hans"/>
        </w:rPr>
        <w:t>年“三公”经费下降的主要原因是：</w:t>
      </w:r>
      <w:r>
        <w:rPr>
          <w:rFonts w:hint="default" w:ascii="Times New Roman" w:hAnsi="Times New Roman" w:eastAsia="方正仿宋_GBK" w:cs="Times New Roman"/>
          <w:sz w:val="32"/>
          <w:szCs w:val="32"/>
          <w:highlight w:val="none"/>
          <w:lang w:val="en-US" w:eastAsia="zh-CN"/>
        </w:rPr>
        <w:t>经年初预算安排时认真核对车辆信息，对超编车辆，借用车辆不予安排公务用车运行维护费，所有车辆安排均按照实际在岗车辆数进行安排。</w:t>
      </w:r>
    </w:p>
    <w:p>
      <w:pPr>
        <w:widowControl w:val="0"/>
        <w:spacing w:line="600" w:lineRule="exact"/>
        <w:ind w:firstLine="0" w:firstLineChars="0"/>
        <w:jc w:val="center"/>
        <w:outlineLvl w:val="9"/>
        <w:rPr>
          <w:rFonts w:hint="default" w:ascii="Times New Roman" w:hAnsi="Times New Roman" w:eastAsia="黑体" w:cs="Times New Roman"/>
          <w:kern w:val="0"/>
          <w:sz w:val="32"/>
          <w:szCs w:val="32"/>
          <w:highlight w:val="none"/>
          <w:lang w:val="en-US" w:eastAsia="zh-Hans"/>
        </w:rPr>
      </w:pPr>
      <w:r>
        <w:rPr>
          <w:rFonts w:hint="default" w:ascii="Times New Roman" w:hAnsi="Times New Roman" w:eastAsia="方正黑体_GBK" w:cs="Times New Roman"/>
          <w:kern w:val="0"/>
          <w:sz w:val="36"/>
          <w:szCs w:val="36"/>
          <w:highlight w:val="none"/>
          <w:lang w:val="en-US" w:eastAsia="zh-Hans"/>
        </w:rPr>
        <w:t>第四部分</w:t>
      </w:r>
      <w:r>
        <w:rPr>
          <w:rFonts w:hint="default" w:ascii="Times New Roman" w:hAnsi="Times New Roman" w:eastAsia="方正黑体_GBK" w:cs="Times New Roman"/>
          <w:kern w:val="0"/>
          <w:sz w:val="36"/>
          <w:szCs w:val="36"/>
          <w:highlight w:val="none"/>
          <w:lang w:eastAsia="zh-Hans"/>
        </w:rPr>
        <w:t xml:space="preserve">  </w:t>
      </w:r>
      <w:r>
        <w:rPr>
          <w:rFonts w:hint="default" w:ascii="Times New Roman" w:hAnsi="Times New Roman" w:eastAsia="方正黑体_GBK" w:cs="Times New Roman"/>
          <w:kern w:val="0"/>
          <w:sz w:val="36"/>
          <w:szCs w:val="36"/>
          <w:highlight w:val="none"/>
          <w:lang w:val="en-US" w:eastAsia="zh-Hans"/>
        </w:rPr>
        <w:t>转移支付安排情况说明</w:t>
      </w: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bCs w:val="0"/>
          <w:spacing w:val="-4"/>
          <w:sz w:val="32"/>
          <w:szCs w:val="32"/>
          <w:highlight w:val="none"/>
          <w:lang w:val="en-US" w:eastAsia="zh-CN"/>
        </w:rPr>
      </w:pP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bCs w:val="0"/>
          <w:spacing w:val="-4"/>
          <w:sz w:val="32"/>
          <w:szCs w:val="32"/>
          <w:highlight w:val="none"/>
          <w:lang w:val="en-US" w:eastAsia="zh-Hans"/>
        </w:rPr>
      </w:pPr>
      <w:r>
        <w:rPr>
          <w:rFonts w:hint="default" w:ascii="Times New Roman" w:hAnsi="Times New Roman" w:eastAsia="楷体_GB2312" w:cs="Times New Roman"/>
          <w:b/>
          <w:bCs w:val="0"/>
          <w:spacing w:val="-4"/>
          <w:sz w:val="32"/>
          <w:szCs w:val="32"/>
          <w:highlight w:val="none"/>
          <w:lang w:val="en-US" w:eastAsia="zh-CN"/>
        </w:rPr>
        <w:t>一、</w:t>
      </w:r>
      <w:r>
        <w:rPr>
          <w:rFonts w:hint="default" w:ascii="Times New Roman" w:hAnsi="Times New Roman" w:eastAsia="楷体_GB2312" w:cs="Times New Roman"/>
          <w:b/>
          <w:bCs w:val="0"/>
          <w:spacing w:val="-4"/>
          <w:sz w:val="32"/>
          <w:szCs w:val="32"/>
          <w:highlight w:val="none"/>
          <w:lang w:val="en-US" w:eastAsia="zh-Hans"/>
        </w:rPr>
        <w:t>一般公共预算对下转移支付情况</w:t>
      </w:r>
    </w:p>
    <w:p>
      <w:pPr>
        <w:keepNext w:val="0"/>
        <w:keepLines w:val="0"/>
        <w:pageBreakBefore w:val="0"/>
        <w:widowControl w:val="0"/>
        <w:shd w:val="solid" w:color="FFFFFF" w:fill="auto"/>
        <w:kinsoku/>
        <w:wordWrap/>
        <w:overflowPunct/>
        <w:topLinePunct w:val="0"/>
        <w:autoSpaceDE/>
        <w:autoSpaceDN w:val="0"/>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（一）2025年度泽普县无一般公共预算对下转移支付；</w:t>
      </w:r>
    </w:p>
    <w:p>
      <w:pPr>
        <w:keepNext w:val="0"/>
        <w:keepLines w:val="0"/>
        <w:pageBreakBefore w:val="0"/>
        <w:widowControl w:val="0"/>
        <w:shd w:val="solid" w:color="FFFFFF" w:fill="auto"/>
        <w:kinsoku/>
        <w:wordWrap/>
        <w:overflowPunct/>
        <w:topLinePunct w:val="0"/>
        <w:autoSpaceDE/>
        <w:autoSpaceDN w:val="0"/>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（二）2025年度自治区对泽普县一般公共预算转移支付安排如下：</w:t>
      </w:r>
    </w:p>
    <w:p>
      <w:pPr>
        <w:keepNext w:val="0"/>
        <w:keepLines w:val="0"/>
        <w:pageBreakBefore w:val="0"/>
        <w:widowControl w:val="0"/>
        <w:shd w:val="solid" w:color="FFFFFF" w:fill="auto"/>
        <w:kinsoku/>
        <w:wordWrap/>
        <w:overflowPunct/>
        <w:topLinePunct w:val="0"/>
        <w:autoSpaceDE/>
        <w:autoSpaceDN w:val="0"/>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返还性收入1306万元，其中：所得税基数返还收入547万元；增值税税收返还收入759万元。</w:t>
      </w:r>
    </w:p>
    <w:p>
      <w:pPr>
        <w:keepNext w:val="0"/>
        <w:keepLines w:val="0"/>
        <w:pageBreakBefore w:val="0"/>
        <w:widowControl w:val="0"/>
        <w:shd w:val="solid" w:color="FFFFFF" w:fill="auto"/>
        <w:kinsoku/>
        <w:wordWrap/>
        <w:overflowPunct/>
        <w:topLinePunct w:val="0"/>
        <w:autoSpaceDE/>
        <w:autoSpaceDN w:val="0"/>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 xml:space="preserve">一般性转移支付收入222942万元。其中：体制补助收入10286万元；均衡性转移支付收入25790万元；县级基本财力保障机制奖补资金收入20524万元；结算补助0万元；产粮（油）大县奖励资金收入1152万元；重点生态功能区转移支付收入7650万元；固定数额补助收入64436万元；巩固脱贫攻坚成果衔接乡村振兴转移支付收入22595万元；一般公共服务共同财政事权转移支付收入723万元；公共安全共同财政事权转移支付收入2587万元；教育共同财政事权转移支付收入24205万元；文化旅游体育与传媒共同财政事权转移支付收入666万元；社会保障和就业共同财政事权转移支付收入10872万元；医疗卫生共同财政事权转移支付收入5903万元；节能环保共同财政事权转移支付收入1152万元；农林水共同财政事权转移支付收入13360万元；交通运输共同财政事权转移支付收入530万元；住房保障共同财政事权转移支付收入3311万元；其他共同财政事权转移支付收入0万元。以上转移支付收入已按要求编入年度预算，预算执行中按规定用途使用。 </w:t>
      </w:r>
    </w:p>
    <w:p>
      <w:pPr>
        <w:keepNext w:val="0"/>
        <w:keepLines w:val="0"/>
        <w:pageBreakBefore w:val="0"/>
        <w:widowControl w:val="0"/>
        <w:shd w:val="solid" w:color="FFFFFF" w:fill="auto"/>
        <w:kinsoku/>
        <w:wordWrap/>
        <w:overflowPunct/>
        <w:topLinePunct w:val="0"/>
        <w:autoSpaceDE/>
        <w:autoSpaceDN w:val="0"/>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 xml:space="preserve">专项转移支付收入4001万元。其中：一般公共服务4万元；卫生健康189万元；节能环保1554万元；农林水1414万元；交通运输794万元；商业服务业等46万元；其他收入0万元。以上转移支付收入已按要求编入年度预算，预算执行中按规定用途使用。 </w:t>
      </w: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bCs w:val="0"/>
          <w:spacing w:val="-4"/>
          <w:sz w:val="32"/>
          <w:szCs w:val="32"/>
          <w:highlight w:val="none"/>
          <w:lang w:val="en-US" w:eastAsia="zh-Hans"/>
        </w:rPr>
      </w:pPr>
      <w:r>
        <w:rPr>
          <w:rFonts w:hint="default" w:ascii="Times New Roman" w:hAnsi="Times New Roman" w:eastAsia="楷体_GB2312" w:cs="Times New Roman"/>
          <w:b/>
          <w:bCs w:val="0"/>
          <w:spacing w:val="-4"/>
          <w:sz w:val="32"/>
          <w:szCs w:val="32"/>
          <w:highlight w:val="none"/>
          <w:lang w:val="en-US" w:eastAsia="zh-Hans"/>
        </w:rPr>
        <w:t>二、政府性基金对下转移支付情况</w:t>
      </w:r>
    </w:p>
    <w:p>
      <w:pPr>
        <w:keepNext w:val="0"/>
        <w:keepLines w:val="0"/>
        <w:pageBreakBefore w:val="0"/>
        <w:widowControl w:val="0"/>
        <w:shd w:val="solid" w:color="FFFFFF" w:fill="auto"/>
        <w:kinsoku/>
        <w:wordWrap/>
        <w:overflowPunct/>
        <w:topLinePunct w:val="0"/>
        <w:autoSpaceDE/>
        <w:autoSpaceDN w:val="0"/>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（一）2025年度泽普县无政府性基金对下转移支付；</w:t>
      </w:r>
    </w:p>
    <w:p>
      <w:pPr>
        <w:keepNext w:val="0"/>
        <w:keepLines w:val="0"/>
        <w:pageBreakBefore w:val="0"/>
        <w:widowControl w:val="0"/>
        <w:shd w:val="solid" w:color="FFFFFF" w:fill="auto"/>
        <w:kinsoku/>
        <w:wordWrap/>
        <w:overflowPunct/>
        <w:topLinePunct w:val="0"/>
        <w:autoSpaceDE/>
        <w:autoSpaceDN w:val="0"/>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（二）2025年度自治区对泽普县政府性基金转移支付安排如下：</w:t>
      </w:r>
    </w:p>
    <w:p>
      <w:pPr>
        <w:keepNext w:val="0"/>
        <w:keepLines w:val="0"/>
        <w:pageBreakBefore w:val="0"/>
        <w:widowControl w:val="0"/>
        <w:shd w:val="solid" w:color="FFFFFF" w:fill="auto"/>
        <w:kinsoku/>
        <w:wordWrap/>
        <w:overflowPunct/>
        <w:topLinePunct w:val="0"/>
        <w:autoSpaceDE/>
        <w:autoSpaceDN w:val="0"/>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 xml:space="preserve">政府性基金转移收入1148万元。其中：政府性基金补助收入1148万元，以上转移支付收入已按要求编入年度预算，预算执行中按规定用途使用。 </w:t>
      </w: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bCs w:val="0"/>
          <w:spacing w:val="-4"/>
          <w:sz w:val="32"/>
          <w:szCs w:val="32"/>
          <w:highlight w:val="none"/>
          <w:lang w:val="en-US" w:eastAsia="zh-Hans"/>
        </w:rPr>
      </w:pPr>
      <w:r>
        <w:rPr>
          <w:rFonts w:hint="default" w:ascii="Times New Roman" w:hAnsi="Times New Roman" w:eastAsia="楷体_GB2312" w:cs="Times New Roman"/>
          <w:b/>
          <w:bCs w:val="0"/>
          <w:spacing w:val="-4"/>
          <w:sz w:val="32"/>
          <w:szCs w:val="32"/>
          <w:highlight w:val="none"/>
          <w:lang w:val="en-US" w:eastAsia="zh-CN"/>
        </w:rPr>
        <w:t>三、</w:t>
      </w:r>
      <w:r>
        <w:rPr>
          <w:rFonts w:hint="default" w:ascii="Times New Roman" w:hAnsi="Times New Roman" w:eastAsia="楷体_GB2312" w:cs="Times New Roman"/>
          <w:b/>
          <w:bCs w:val="0"/>
          <w:spacing w:val="-4"/>
          <w:sz w:val="32"/>
          <w:szCs w:val="32"/>
          <w:highlight w:val="none"/>
          <w:lang w:val="en-US" w:eastAsia="zh-Hans"/>
        </w:rPr>
        <w:t>国有资本经营预算对下转移支付情况</w:t>
      </w:r>
    </w:p>
    <w:p>
      <w:pPr>
        <w:keepNext w:val="0"/>
        <w:keepLines w:val="0"/>
        <w:pageBreakBefore w:val="0"/>
        <w:widowControl w:val="0"/>
        <w:shd w:val="solid" w:color="FFFFFF" w:fill="auto"/>
        <w:kinsoku/>
        <w:wordWrap/>
        <w:overflowPunct/>
        <w:topLinePunct w:val="0"/>
        <w:autoSpaceDE/>
        <w:autoSpaceDN w:val="0"/>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（一）2025年度泽普县无国有资本经营预算对下转移支付；</w:t>
      </w:r>
    </w:p>
    <w:p>
      <w:pPr>
        <w:keepNext w:val="0"/>
        <w:keepLines w:val="0"/>
        <w:pageBreakBefore w:val="0"/>
        <w:widowControl w:val="0"/>
        <w:shd w:val="solid" w:color="FFFFFF" w:fill="auto"/>
        <w:kinsoku/>
        <w:wordWrap/>
        <w:overflowPunct/>
        <w:topLinePunct w:val="0"/>
        <w:autoSpaceDE/>
        <w:autoSpaceDN w:val="0"/>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（二）2025年度自治区对泽普县国有资本经营预算转移支付安排如下：</w:t>
      </w:r>
    </w:p>
    <w:p>
      <w:pPr>
        <w:keepNext w:val="0"/>
        <w:keepLines w:val="0"/>
        <w:pageBreakBefore w:val="0"/>
        <w:widowControl w:val="0"/>
        <w:shd w:val="solid" w:color="FFFFFF" w:fill="auto"/>
        <w:kinsoku/>
        <w:wordWrap/>
        <w:overflowPunct/>
        <w:topLinePunct w:val="0"/>
        <w:autoSpaceDE/>
        <w:autoSpaceDN w:val="0"/>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国有资本经营预算转移支付收入5万元。其中：国有资本经营预算补助收入5万元，以上转移支付收入已按要求编入年度预算，预算执行中按规定用途使用。</w:t>
      </w:r>
    </w:p>
    <w:p>
      <w:pPr>
        <w:widowControl/>
        <w:jc w:val="both"/>
        <w:outlineLvl w:val="1"/>
        <w:rPr>
          <w:rFonts w:hint="default" w:ascii="Times New Roman" w:hAnsi="Times New Roman" w:eastAsia="黑体" w:cs="Times New Roman"/>
          <w:kern w:val="0"/>
          <w:sz w:val="32"/>
          <w:szCs w:val="32"/>
          <w:highlight w:val="none"/>
          <w:lang w:val="en-US" w:eastAsia="zh-Hans"/>
        </w:rPr>
      </w:pPr>
    </w:p>
    <w:p>
      <w:pPr>
        <w:pStyle w:val="2"/>
        <w:rPr>
          <w:rFonts w:hint="default"/>
          <w:lang w:val="en-US" w:eastAsia="zh-Hans"/>
        </w:rPr>
      </w:pPr>
    </w:p>
    <w:p>
      <w:pPr>
        <w:rPr>
          <w:rFonts w:hint="default"/>
          <w:lang w:val="en-US" w:eastAsia="zh-Hans"/>
        </w:rPr>
      </w:pPr>
    </w:p>
    <w:p>
      <w:pPr>
        <w:pStyle w:val="2"/>
        <w:rPr>
          <w:rFonts w:hint="default"/>
          <w:lang w:val="en-US" w:eastAsia="zh-Hans"/>
        </w:rPr>
      </w:pPr>
    </w:p>
    <w:p>
      <w:pPr>
        <w:widowControl/>
        <w:jc w:val="center"/>
        <w:outlineLvl w:val="1"/>
        <w:rPr>
          <w:rFonts w:hint="default" w:ascii="Times New Roman" w:hAnsi="Times New Roman" w:eastAsia="方正黑体_GBK" w:cs="Times New Roman"/>
          <w:kern w:val="0"/>
          <w:sz w:val="36"/>
          <w:szCs w:val="36"/>
          <w:highlight w:val="none"/>
          <w:lang w:val="en-US" w:eastAsia="zh-Hans"/>
        </w:rPr>
      </w:pPr>
    </w:p>
    <w:p>
      <w:pPr>
        <w:widowControl/>
        <w:numPr>
          <w:ilvl w:val="0"/>
          <w:numId w:val="3"/>
        </w:numPr>
        <w:jc w:val="center"/>
        <w:outlineLvl w:val="1"/>
        <w:rPr>
          <w:rFonts w:hint="default" w:ascii="Times New Roman" w:hAnsi="Times New Roman" w:eastAsia="方正黑体_GBK" w:cs="Times New Roman"/>
          <w:kern w:val="0"/>
          <w:sz w:val="36"/>
          <w:szCs w:val="36"/>
          <w:highlight w:val="none"/>
          <w:lang w:val="en-US" w:eastAsia="zh-CN"/>
        </w:rPr>
      </w:pPr>
      <w:r>
        <w:rPr>
          <w:rFonts w:hint="default" w:ascii="Times New Roman" w:hAnsi="Times New Roman" w:eastAsia="方正黑体_GBK" w:cs="Times New Roman"/>
          <w:kern w:val="0"/>
          <w:sz w:val="36"/>
          <w:szCs w:val="36"/>
          <w:highlight w:val="none"/>
          <w:lang w:eastAsia="zh-Hans"/>
        </w:rPr>
        <w:t xml:space="preserve"> </w:t>
      </w:r>
      <w:r>
        <w:rPr>
          <w:rFonts w:hint="default" w:ascii="Times New Roman" w:hAnsi="Times New Roman" w:eastAsia="方正黑体_GBK" w:cs="Times New Roman"/>
          <w:kern w:val="0"/>
          <w:sz w:val="36"/>
          <w:szCs w:val="36"/>
          <w:highlight w:val="none"/>
          <w:lang w:val="en-US" w:eastAsia="zh-Hans"/>
        </w:rPr>
        <w:t>地方政府债务</w:t>
      </w:r>
      <w:r>
        <w:rPr>
          <w:rFonts w:hint="default" w:ascii="Times New Roman" w:hAnsi="Times New Roman" w:eastAsia="方正黑体_GBK" w:cs="Times New Roman"/>
          <w:kern w:val="0"/>
          <w:sz w:val="36"/>
          <w:szCs w:val="36"/>
          <w:highlight w:val="none"/>
          <w:lang w:val="en-US" w:eastAsia="zh-CN"/>
        </w:rPr>
        <w:t>公开情况</w:t>
      </w:r>
    </w:p>
    <w:p>
      <w:pPr>
        <w:pStyle w:val="2"/>
        <w:numPr>
          <w:ilvl w:val="0"/>
          <w:numId w:val="0"/>
        </w:numPr>
        <w:rPr>
          <w:rFonts w:hint="default"/>
          <w:lang w:val="en-US" w:eastAsia="zh-Hans"/>
        </w:rPr>
      </w:pPr>
    </w:p>
    <w:p>
      <w:pPr>
        <w:wordWrap/>
        <w:jc w:val="both"/>
        <w:rPr>
          <w:rFonts w:hint="default" w:ascii="Times New Roman" w:hAnsi="Times New Roman" w:cs="Times New Roman"/>
          <w:b w:val="0"/>
          <w:bCs w:val="0"/>
          <w:sz w:val="22"/>
          <w:szCs w:val="22"/>
          <w:highlight w:val="none"/>
          <w:lang w:eastAsia="zh-Hans"/>
        </w:rPr>
      </w:pPr>
    </w:p>
    <w:tbl>
      <w:tblPr>
        <w:tblStyle w:val="8"/>
        <w:tblW w:w="94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2079"/>
        <w:gridCol w:w="2061"/>
        <w:gridCol w:w="2520"/>
        <w:gridCol w:w="27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6" w:hRule="atLeast"/>
          <w:jc w:val="center"/>
        </w:trPr>
        <w:tc>
          <w:tcPr>
            <w:tcW w:w="9420" w:type="dxa"/>
            <w:gridSpan w:val="4"/>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表2</w:t>
            </w:r>
            <w:r>
              <w:rPr>
                <w:rFonts w:hint="default" w:ascii="Times New Roman" w:hAnsi="Times New Roman" w:cs="Times New Roman"/>
                <w:i w:val="0"/>
                <w:color w:val="000000"/>
                <w:kern w:val="0"/>
                <w:sz w:val="20"/>
                <w:szCs w:val="20"/>
                <w:highlight w:val="none"/>
                <w:u w:val="none"/>
                <w:lang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19" w:hRule="atLeast"/>
          <w:jc w:val="center"/>
        </w:trPr>
        <w:tc>
          <w:tcPr>
            <w:tcW w:w="9420" w:type="dxa"/>
            <w:gridSpan w:val="4"/>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2024</w:t>
            </w:r>
            <w:r>
              <w:rPr>
                <w:rFonts w:hint="default" w:ascii="Times New Roman" w:hAnsi="Times New Roman" w:cs="Times New Roman"/>
                <w:b/>
                <w:bCs/>
                <w:i w:val="0"/>
                <w:color w:val="000000"/>
                <w:kern w:val="0"/>
                <w:sz w:val="20"/>
                <w:szCs w:val="20"/>
                <w:highlight w:val="none"/>
                <w:u w:val="none"/>
                <w:lang w:eastAsia="zh-CN" w:bidi="ar"/>
              </w:rPr>
              <w:t>年度</w:t>
            </w:r>
            <w:r>
              <w:rPr>
                <w:rFonts w:hint="default" w:ascii="Times New Roman" w:hAnsi="Times New Roman" w:cs="Times New Roman"/>
                <w:b/>
                <w:bCs/>
                <w:i w:val="0"/>
                <w:color w:val="000000"/>
                <w:kern w:val="0"/>
                <w:sz w:val="20"/>
                <w:szCs w:val="20"/>
                <w:highlight w:val="none"/>
                <w:u w:val="none"/>
                <w:lang w:val="en-US" w:eastAsia="zh-CN" w:bidi="ar"/>
              </w:rPr>
              <w:t>泽普县</w:t>
            </w:r>
            <w:r>
              <w:rPr>
                <w:rFonts w:hint="default" w:ascii="Times New Roman" w:hAnsi="Times New Roman" w:eastAsia="宋体" w:cs="Times New Roman"/>
                <w:b/>
                <w:bCs/>
                <w:i w:val="0"/>
                <w:color w:val="000000"/>
                <w:kern w:val="0"/>
                <w:sz w:val="20"/>
                <w:szCs w:val="20"/>
                <w:highlight w:val="none"/>
                <w:u w:val="none"/>
                <w:lang w:val="en-US" w:eastAsia="zh-CN" w:bidi="ar"/>
              </w:rPr>
              <w:t>政府一般债务限额、余额情况表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0" w:hRule="atLeast"/>
          <w:jc w:val="center"/>
        </w:trPr>
        <w:tc>
          <w:tcPr>
            <w:tcW w:w="2079" w:type="dxa"/>
            <w:noWrap w:val="0"/>
            <w:vAlign w:val="center"/>
          </w:tcPr>
          <w:p>
            <w:pPr>
              <w:rPr>
                <w:rFonts w:hint="default" w:ascii="Times New Roman" w:hAnsi="Times New Roman" w:eastAsia="宋体" w:cs="Times New Roman"/>
                <w:i w:val="0"/>
                <w:color w:val="000000"/>
                <w:sz w:val="20"/>
                <w:szCs w:val="20"/>
                <w:highlight w:val="none"/>
                <w:u w:val="none"/>
              </w:rPr>
            </w:pPr>
          </w:p>
        </w:tc>
        <w:tc>
          <w:tcPr>
            <w:tcW w:w="2061" w:type="dxa"/>
            <w:noWrap w:val="0"/>
            <w:vAlign w:val="center"/>
          </w:tcPr>
          <w:p>
            <w:pPr>
              <w:rPr>
                <w:rFonts w:hint="default" w:ascii="Times New Roman" w:hAnsi="Times New Roman" w:eastAsia="宋体" w:cs="Times New Roman"/>
                <w:i w:val="0"/>
                <w:color w:val="000000"/>
                <w:sz w:val="20"/>
                <w:szCs w:val="20"/>
                <w:highlight w:val="none"/>
                <w:u w:val="none"/>
              </w:rPr>
            </w:pPr>
          </w:p>
        </w:tc>
        <w:tc>
          <w:tcPr>
            <w:tcW w:w="252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2760"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55" w:hRule="atLeast"/>
          <w:jc w:val="center"/>
        </w:trPr>
        <w:tc>
          <w:tcPr>
            <w:tcW w:w="2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val="0"/>
                <w:i w:val="0"/>
                <w:color w:val="000000"/>
                <w:sz w:val="20"/>
                <w:szCs w:val="20"/>
                <w:highlight w:val="none"/>
                <w:u w:val="none"/>
              </w:rPr>
            </w:pPr>
            <w:r>
              <w:rPr>
                <w:rFonts w:hint="default" w:ascii="Times New Roman" w:hAnsi="Times New Roman" w:eastAsia="宋体" w:cs="Times New Roman"/>
                <w:b/>
                <w:bCs w:val="0"/>
                <w:i w:val="0"/>
                <w:color w:val="000000"/>
                <w:kern w:val="0"/>
                <w:sz w:val="20"/>
                <w:szCs w:val="20"/>
                <w:highlight w:val="none"/>
                <w:u w:val="none"/>
                <w:lang w:val="en-US" w:eastAsia="zh-CN" w:bidi="ar"/>
              </w:rPr>
              <w:t>行政区划名称</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val="0"/>
                <w:i w:val="0"/>
                <w:color w:val="000000"/>
                <w:sz w:val="20"/>
                <w:szCs w:val="20"/>
                <w:highlight w:val="none"/>
                <w:u w:val="none"/>
              </w:rPr>
            </w:pPr>
            <w:r>
              <w:rPr>
                <w:rFonts w:hint="default" w:ascii="Times New Roman" w:hAnsi="Times New Roman" w:eastAsia="宋体" w:cs="Times New Roman"/>
                <w:b/>
                <w:bCs w:val="0"/>
                <w:i w:val="0"/>
                <w:color w:val="000000"/>
                <w:kern w:val="0"/>
                <w:sz w:val="20"/>
                <w:szCs w:val="20"/>
                <w:highlight w:val="none"/>
                <w:u w:val="none"/>
                <w:lang w:val="en-US" w:eastAsia="zh-CN" w:bidi="ar"/>
              </w:rPr>
              <w:t>一般债务限额总额</w:t>
            </w:r>
          </w:p>
        </w:tc>
        <w:tc>
          <w:tcPr>
            <w:tcW w:w="25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val="0"/>
                <w:i w:val="0"/>
                <w:color w:val="000000"/>
                <w:sz w:val="20"/>
                <w:szCs w:val="20"/>
                <w:highlight w:val="none"/>
                <w:u w:val="none"/>
              </w:rPr>
            </w:pPr>
            <w:r>
              <w:rPr>
                <w:rFonts w:hint="default" w:ascii="Times New Roman" w:hAnsi="Times New Roman" w:eastAsia="宋体" w:cs="Times New Roman"/>
                <w:b/>
                <w:bCs w:val="0"/>
                <w:i w:val="0"/>
                <w:color w:val="000000"/>
                <w:kern w:val="0"/>
                <w:sz w:val="20"/>
                <w:szCs w:val="20"/>
                <w:highlight w:val="none"/>
                <w:u w:val="none"/>
                <w:lang w:val="en-US" w:eastAsia="zh-CN" w:bidi="ar"/>
              </w:rPr>
              <w:t>其中：新增一般债务限额</w:t>
            </w:r>
          </w:p>
        </w:tc>
        <w:tc>
          <w:tcPr>
            <w:tcW w:w="27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val="0"/>
                <w:i w:val="0"/>
                <w:color w:val="000000"/>
                <w:sz w:val="20"/>
                <w:szCs w:val="20"/>
                <w:highlight w:val="none"/>
                <w:u w:val="none"/>
              </w:rPr>
            </w:pPr>
            <w:r>
              <w:rPr>
                <w:rFonts w:hint="default" w:ascii="Times New Roman" w:hAnsi="Times New Roman" w:eastAsia="宋体" w:cs="Times New Roman"/>
                <w:b/>
                <w:bCs w:val="0"/>
                <w:i w:val="0"/>
                <w:color w:val="000000"/>
                <w:kern w:val="0"/>
                <w:sz w:val="20"/>
                <w:szCs w:val="20"/>
                <w:highlight w:val="none"/>
                <w:u w:val="none"/>
                <w:lang w:val="en-US" w:eastAsia="zh-CN" w:bidi="ar"/>
              </w:rPr>
              <w:t>一般债务余额预计执行数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34" w:hRule="atLeast"/>
          <w:jc w:val="center"/>
        </w:trPr>
        <w:tc>
          <w:tcPr>
            <w:tcW w:w="2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喀什地区</w:t>
            </w:r>
            <w:r>
              <w:rPr>
                <w:rFonts w:hint="default" w:ascii="Times New Roman" w:hAnsi="Times New Roman" w:eastAsia="宋体" w:cs="Times New Roman"/>
                <w:i w:val="0"/>
                <w:color w:val="000000"/>
                <w:kern w:val="0"/>
                <w:sz w:val="20"/>
                <w:szCs w:val="20"/>
                <w:highlight w:val="none"/>
                <w:u w:val="none"/>
                <w:lang w:val="en-US" w:eastAsia="zh-CN" w:bidi="ar"/>
              </w:rPr>
              <w:t>）</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7.86</w:t>
            </w:r>
          </w:p>
        </w:tc>
        <w:tc>
          <w:tcPr>
            <w:tcW w:w="2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0.2</w:t>
            </w:r>
          </w:p>
        </w:tc>
        <w:tc>
          <w:tcPr>
            <w:tcW w:w="27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7.73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8" w:hRule="atLeast"/>
          <w:jc w:val="center"/>
        </w:trPr>
        <w:tc>
          <w:tcPr>
            <w:tcW w:w="2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喀什地区</w:t>
            </w:r>
            <w:r>
              <w:rPr>
                <w:rFonts w:hint="default" w:ascii="Times New Roman" w:hAnsi="Times New Roman" w:eastAsia="宋体" w:cs="Times New Roman"/>
                <w:i w:val="0"/>
                <w:color w:val="000000"/>
                <w:kern w:val="0"/>
                <w:sz w:val="20"/>
                <w:szCs w:val="20"/>
                <w:highlight w:val="none"/>
                <w:u w:val="none"/>
                <w:lang w:val="en-US" w:eastAsia="zh-CN" w:bidi="ar"/>
              </w:rPr>
              <w:t>本级</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7.86</w:t>
            </w:r>
          </w:p>
        </w:tc>
        <w:tc>
          <w:tcPr>
            <w:tcW w:w="2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0.2</w:t>
            </w:r>
          </w:p>
        </w:tc>
        <w:tc>
          <w:tcPr>
            <w:tcW w:w="27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7.73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2" w:hRule="atLeast"/>
          <w:jc w:val="center"/>
        </w:trPr>
        <w:tc>
          <w:tcPr>
            <w:tcW w:w="2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所属县（市、区）小计</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7.86</w:t>
            </w:r>
          </w:p>
        </w:tc>
        <w:tc>
          <w:tcPr>
            <w:tcW w:w="2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0.2</w:t>
            </w:r>
          </w:p>
        </w:tc>
        <w:tc>
          <w:tcPr>
            <w:tcW w:w="27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7.73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8" w:hRule="atLeast"/>
          <w:jc w:val="center"/>
        </w:trPr>
        <w:tc>
          <w:tcPr>
            <w:tcW w:w="2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泽普县</w:t>
            </w:r>
          </w:p>
        </w:tc>
        <w:tc>
          <w:tcPr>
            <w:tcW w:w="20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7.86</w:t>
            </w:r>
          </w:p>
        </w:tc>
        <w:tc>
          <w:tcPr>
            <w:tcW w:w="2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0.2</w:t>
            </w:r>
          </w:p>
        </w:tc>
        <w:tc>
          <w:tcPr>
            <w:tcW w:w="27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7.73</w:t>
            </w:r>
          </w:p>
        </w:tc>
      </w:tr>
    </w:tbl>
    <w:p>
      <w:pPr>
        <w:wordWrap/>
        <w:jc w:val="both"/>
        <w:rPr>
          <w:rFonts w:hint="default" w:ascii="Times New Roman" w:hAnsi="Times New Roman" w:cs="Times New Roman"/>
          <w:b w:val="0"/>
          <w:bCs w:val="0"/>
          <w:sz w:val="22"/>
          <w:szCs w:val="22"/>
          <w:highlight w:val="none"/>
          <w:lang w:eastAsia="zh-Hans"/>
        </w:rPr>
      </w:pPr>
    </w:p>
    <w:tbl>
      <w:tblPr>
        <w:tblStyle w:val="8"/>
        <w:tblpPr w:leftFromText="180" w:rightFromText="180" w:vertAnchor="text" w:horzAnchor="page" w:tblpXSpec="center" w:tblpY="306"/>
        <w:tblOverlap w:val="never"/>
        <w:tblW w:w="93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2432"/>
        <w:gridCol w:w="1858"/>
        <w:gridCol w:w="2280"/>
        <w:gridCol w:w="28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jc w:val="center"/>
        </w:trPr>
        <w:tc>
          <w:tcPr>
            <w:tcW w:w="9380" w:type="dxa"/>
            <w:gridSpan w:val="4"/>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表2</w:t>
            </w:r>
            <w:r>
              <w:rPr>
                <w:rFonts w:hint="default" w:ascii="Times New Roman" w:hAnsi="Times New Roman" w:cs="Times New Roman"/>
                <w:i w:val="0"/>
                <w:color w:val="000000"/>
                <w:kern w:val="0"/>
                <w:sz w:val="20"/>
                <w:szCs w:val="20"/>
                <w:highlight w:val="none"/>
                <w:u w:val="none"/>
                <w:lang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jc w:val="center"/>
        </w:trPr>
        <w:tc>
          <w:tcPr>
            <w:tcW w:w="9380" w:type="dxa"/>
            <w:gridSpan w:val="4"/>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2024</w:t>
            </w:r>
            <w:r>
              <w:rPr>
                <w:rFonts w:hint="default" w:ascii="Times New Roman" w:hAnsi="Times New Roman" w:cs="Times New Roman"/>
                <w:b/>
                <w:bCs/>
                <w:i w:val="0"/>
                <w:color w:val="000000"/>
                <w:kern w:val="0"/>
                <w:sz w:val="20"/>
                <w:szCs w:val="20"/>
                <w:highlight w:val="none"/>
                <w:u w:val="none"/>
                <w:lang w:eastAsia="zh-CN" w:bidi="ar"/>
              </w:rPr>
              <w:t>年度</w:t>
            </w:r>
            <w:r>
              <w:rPr>
                <w:rFonts w:hint="default" w:ascii="Times New Roman" w:hAnsi="Times New Roman" w:cs="Times New Roman"/>
                <w:b/>
                <w:bCs/>
                <w:i w:val="0"/>
                <w:color w:val="000000"/>
                <w:kern w:val="0"/>
                <w:sz w:val="20"/>
                <w:szCs w:val="20"/>
                <w:highlight w:val="none"/>
                <w:u w:val="none"/>
                <w:lang w:val="en-US" w:eastAsia="zh-CN" w:bidi="ar"/>
              </w:rPr>
              <w:t>泽普县</w:t>
            </w:r>
            <w:r>
              <w:rPr>
                <w:rFonts w:hint="default" w:ascii="Times New Roman" w:hAnsi="Times New Roman" w:eastAsia="宋体" w:cs="Times New Roman"/>
                <w:b/>
                <w:bCs/>
                <w:i w:val="0"/>
                <w:color w:val="000000"/>
                <w:kern w:val="0"/>
                <w:sz w:val="20"/>
                <w:szCs w:val="20"/>
                <w:highlight w:val="none"/>
                <w:u w:val="none"/>
                <w:lang w:val="en-US" w:eastAsia="zh-CN" w:bidi="ar"/>
              </w:rPr>
              <w:t>政府专项债务限额、余额情况表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2432" w:type="dxa"/>
            <w:noWrap w:val="0"/>
            <w:vAlign w:val="center"/>
          </w:tcPr>
          <w:p>
            <w:pPr>
              <w:rPr>
                <w:rFonts w:hint="default" w:ascii="Times New Roman" w:hAnsi="Times New Roman" w:eastAsia="宋体" w:cs="Times New Roman"/>
                <w:i w:val="0"/>
                <w:color w:val="000000"/>
                <w:sz w:val="20"/>
                <w:szCs w:val="20"/>
                <w:highlight w:val="none"/>
                <w:u w:val="none"/>
              </w:rPr>
            </w:pPr>
          </w:p>
        </w:tc>
        <w:tc>
          <w:tcPr>
            <w:tcW w:w="1858" w:type="dxa"/>
            <w:noWrap w:val="0"/>
            <w:vAlign w:val="center"/>
          </w:tcPr>
          <w:p>
            <w:pPr>
              <w:rPr>
                <w:rFonts w:hint="default" w:ascii="Times New Roman" w:hAnsi="Times New Roman" w:eastAsia="宋体" w:cs="Times New Roman"/>
                <w:i w:val="0"/>
                <w:color w:val="000000"/>
                <w:sz w:val="20"/>
                <w:szCs w:val="20"/>
                <w:highlight w:val="none"/>
                <w:u w:val="none"/>
              </w:rPr>
            </w:pPr>
          </w:p>
        </w:tc>
        <w:tc>
          <w:tcPr>
            <w:tcW w:w="228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2810"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55" w:hRule="atLeast"/>
          <w:jc w:val="center"/>
        </w:trPr>
        <w:tc>
          <w:tcPr>
            <w:tcW w:w="2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行政区划名称</w:t>
            </w:r>
          </w:p>
        </w:tc>
        <w:tc>
          <w:tcPr>
            <w:tcW w:w="18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专项债务限额总额</w:t>
            </w:r>
          </w:p>
        </w:tc>
        <w:tc>
          <w:tcPr>
            <w:tcW w:w="22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其中：新增专项债务限额</w:t>
            </w:r>
          </w:p>
        </w:tc>
        <w:tc>
          <w:tcPr>
            <w:tcW w:w="2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专项债务余额预计执行数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jc w:val="center"/>
        </w:trPr>
        <w:tc>
          <w:tcPr>
            <w:tcW w:w="2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喀什地区</w:t>
            </w:r>
          </w:p>
        </w:tc>
        <w:tc>
          <w:tcPr>
            <w:tcW w:w="185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21.87</w:t>
            </w:r>
          </w:p>
        </w:tc>
        <w:tc>
          <w:tcPr>
            <w:tcW w:w="22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4.78</w:t>
            </w:r>
          </w:p>
        </w:tc>
        <w:tc>
          <w:tcPr>
            <w:tcW w:w="2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21.87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jc w:val="center"/>
        </w:trPr>
        <w:tc>
          <w:tcPr>
            <w:tcW w:w="2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喀什地区</w:t>
            </w:r>
            <w:r>
              <w:rPr>
                <w:rFonts w:hint="default" w:ascii="Times New Roman" w:hAnsi="Times New Roman" w:eastAsia="宋体" w:cs="Times New Roman"/>
                <w:i w:val="0"/>
                <w:color w:val="000000"/>
                <w:kern w:val="0"/>
                <w:sz w:val="20"/>
                <w:szCs w:val="20"/>
                <w:highlight w:val="none"/>
                <w:u w:val="none"/>
                <w:lang w:val="en-US" w:eastAsia="zh-CN" w:bidi="ar"/>
              </w:rPr>
              <w:t>本级</w:t>
            </w:r>
          </w:p>
        </w:tc>
        <w:tc>
          <w:tcPr>
            <w:tcW w:w="185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21.87</w:t>
            </w:r>
          </w:p>
        </w:tc>
        <w:tc>
          <w:tcPr>
            <w:tcW w:w="22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4.78</w:t>
            </w:r>
          </w:p>
        </w:tc>
        <w:tc>
          <w:tcPr>
            <w:tcW w:w="2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21.87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jc w:val="center"/>
        </w:trPr>
        <w:tc>
          <w:tcPr>
            <w:tcW w:w="2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所属县（市、区）小计</w:t>
            </w:r>
          </w:p>
        </w:tc>
        <w:tc>
          <w:tcPr>
            <w:tcW w:w="185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21.87</w:t>
            </w:r>
          </w:p>
        </w:tc>
        <w:tc>
          <w:tcPr>
            <w:tcW w:w="22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4.78</w:t>
            </w:r>
          </w:p>
        </w:tc>
        <w:tc>
          <w:tcPr>
            <w:tcW w:w="2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21.87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jc w:val="center"/>
        </w:trPr>
        <w:tc>
          <w:tcPr>
            <w:tcW w:w="2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泽普县</w:t>
            </w:r>
          </w:p>
        </w:tc>
        <w:tc>
          <w:tcPr>
            <w:tcW w:w="185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21.87</w:t>
            </w:r>
          </w:p>
        </w:tc>
        <w:tc>
          <w:tcPr>
            <w:tcW w:w="22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4.78</w:t>
            </w:r>
          </w:p>
        </w:tc>
        <w:tc>
          <w:tcPr>
            <w:tcW w:w="2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21.87</w:t>
            </w:r>
          </w:p>
        </w:tc>
      </w:tr>
    </w:tbl>
    <w:p>
      <w:pPr>
        <w:keepNext w:val="0"/>
        <w:keepLines w:val="0"/>
        <w:pageBreakBefore w:val="0"/>
        <w:widowControl w:val="0"/>
        <w:shd w:val="solid" w:color="FFFFFF" w:fill="auto"/>
        <w:kinsoku/>
        <w:wordWrap/>
        <w:overflowPunct/>
        <w:topLinePunct w:val="0"/>
        <w:autoSpaceDE/>
        <w:autoSpaceDN w:val="0"/>
        <w:bidi w:val="0"/>
        <w:spacing w:line="620" w:lineRule="exact"/>
        <w:textAlignment w:val="auto"/>
        <w:rPr>
          <w:rFonts w:hint="default" w:ascii="Times New Roman" w:hAnsi="Times New Roman" w:cs="Times New Roman"/>
          <w:b w:val="0"/>
          <w:bCs w:val="0"/>
          <w:sz w:val="22"/>
          <w:szCs w:val="22"/>
          <w:highlight w:val="none"/>
          <w:lang w:eastAsia="zh-Hans"/>
        </w:rPr>
      </w:pPr>
    </w:p>
    <w:p>
      <w:pPr>
        <w:pStyle w:val="2"/>
        <w:rPr>
          <w:rFonts w:hint="default" w:ascii="Times New Roman" w:hAnsi="Times New Roman" w:cs="Times New Roman"/>
          <w:b w:val="0"/>
          <w:bCs w:val="0"/>
          <w:sz w:val="22"/>
          <w:szCs w:val="22"/>
          <w:highlight w:val="none"/>
          <w:lang w:eastAsia="zh-Hans"/>
        </w:rPr>
      </w:pPr>
    </w:p>
    <w:p>
      <w:pPr>
        <w:rPr>
          <w:rFonts w:hint="default" w:ascii="Times New Roman" w:hAnsi="Times New Roman" w:cs="Times New Roman"/>
          <w:b w:val="0"/>
          <w:bCs w:val="0"/>
          <w:sz w:val="22"/>
          <w:szCs w:val="22"/>
          <w:highlight w:val="none"/>
          <w:lang w:eastAsia="zh-Hans"/>
        </w:rPr>
      </w:pPr>
    </w:p>
    <w:p>
      <w:pPr>
        <w:pStyle w:val="2"/>
        <w:rPr>
          <w:rFonts w:hint="default" w:ascii="Times New Roman" w:hAnsi="Times New Roman" w:cs="Times New Roman"/>
          <w:b w:val="0"/>
          <w:bCs w:val="0"/>
          <w:sz w:val="22"/>
          <w:szCs w:val="22"/>
          <w:highlight w:val="none"/>
          <w:lang w:eastAsia="zh-Hans"/>
        </w:rPr>
      </w:pPr>
    </w:p>
    <w:p>
      <w:pPr>
        <w:rPr>
          <w:rFonts w:hint="default" w:ascii="Times New Roman" w:hAnsi="Times New Roman" w:cs="Times New Roman"/>
          <w:b w:val="0"/>
          <w:bCs w:val="0"/>
          <w:sz w:val="22"/>
          <w:szCs w:val="22"/>
          <w:highlight w:val="none"/>
          <w:lang w:eastAsia="zh-Hans"/>
        </w:rPr>
      </w:pPr>
    </w:p>
    <w:p>
      <w:pPr>
        <w:pStyle w:val="2"/>
        <w:rPr>
          <w:rFonts w:hint="default"/>
          <w:lang w:eastAsia="zh-Hans"/>
        </w:rPr>
      </w:pPr>
    </w:p>
    <w:p>
      <w:pPr>
        <w:pStyle w:val="2"/>
        <w:rPr>
          <w:rFonts w:hint="default"/>
          <w:lang w:eastAsia="zh-Hans"/>
        </w:rPr>
      </w:pPr>
    </w:p>
    <w:p>
      <w:pPr>
        <w:pStyle w:val="7"/>
        <w:rPr>
          <w:rFonts w:hint="default" w:ascii="Times New Roman" w:hAnsi="Times New Roman" w:cs="Times New Roman"/>
          <w:b w:val="0"/>
          <w:bCs w:val="0"/>
          <w:sz w:val="22"/>
          <w:szCs w:val="22"/>
          <w:highlight w:val="none"/>
          <w:lang w:eastAsia="zh-Hans"/>
        </w:rPr>
      </w:pPr>
    </w:p>
    <w:tbl>
      <w:tblPr>
        <w:tblStyle w:val="8"/>
        <w:tblW w:w="963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2006"/>
        <w:gridCol w:w="852"/>
        <w:gridCol w:w="781"/>
        <w:gridCol w:w="848"/>
        <w:gridCol w:w="901"/>
        <w:gridCol w:w="781"/>
        <w:gridCol w:w="563"/>
        <w:gridCol w:w="829"/>
        <w:gridCol w:w="885"/>
        <w:gridCol w:w="11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jc w:val="center"/>
        </w:trPr>
        <w:tc>
          <w:tcPr>
            <w:tcW w:w="9638" w:type="dxa"/>
            <w:gridSpan w:val="10"/>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default" w:ascii="Times New Roman" w:hAnsi="Times New Roman" w:cs="Times New Roman"/>
                <w:i w:val="0"/>
                <w:color w:val="000000"/>
                <w:kern w:val="0"/>
                <w:sz w:val="20"/>
                <w:szCs w:val="20"/>
                <w:highlight w:val="none"/>
                <w:u w:val="none"/>
                <w:lang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jc w:val="center"/>
        </w:trPr>
        <w:tc>
          <w:tcPr>
            <w:tcW w:w="9638" w:type="dxa"/>
            <w:gridSpan w:val="10"/>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2024</w:t>
            </w:r>
            <w:r>
              <w:rPr>
                <w:rFonts w:hint="default" w:ascii="Times New Roman" w:hAnsi="Times New Roman" w:cs="Times New Roman"/>
                <w:b/>
                <w:bCs/>
                <w:i w:val="0"/>
                <w:color w:val="000000"/>
                <w:kern w:val="0"/>
                <w:sz w:val="20"/>
                <w:szCs w:val="20"/>
                <w:highlight w:val="none"/>
                <w:u w:val="none"/>
                <w:lang w:eastAsia="zh-CN" w:bidi="ar"/>
              </w:rPr>
              <w:t>年度</w:t>
            </w:r>
            <w:r>
              <w:rPr>
                <w:rFonts w:hint="default" w:ascii="Times New Roman" w:hAnsi="Times New Roman" w:cs="Times New Roman"/>
                <w:b/>
                <w:bCs/>
                <w:i w:val="0"/>
                <w:color w:val="000000"/>
                <w:kern w:val="0"/>
                <w:sz w:val="20"/>
                <w:szCs w:val="20"/>
                <w:highlight w:val="none"/>
                <w:u w:val="none"/>
                <w:lang w:val="en-US" w:eastAsia="zh-CN" w:bidi="ar"/>
              </w:rPr>
              <w:t>泽普县</w:t>
            </w:r>
            <w:r>
              <w:rPr>
                <w:rFonts w:hint="default" w:ascii="Times New Roman" w:hAnsi="Times New Roman" w:eastAsia="宋体" w:cs="Times New Roman"/>
                <w:b/>
                <w:bCs/>
                <w:i w:val="0"/>
                <w:color w:val="000000"/>
                <w:kern w:val="0"/>
                <w:sz w:val="20"/>
                <w:szCs w:val="20"/>
                <w:highlight w:val="none"/>
                <w:u w:val="none"/>
                <w:lang w:val="en-US" w:eastAsia="zh-CN" w:bidi="ar"/>
              </w:rPr>
              <w:t>政府债务限额、余额（含一般债务限额、余额和专项债务限额、余额）情况表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2006" w:type="dxa"/>
            <w:noWrap w:val="0"/>
            <w:vAlign w:val="center"/>
          </w:tcPr>
          <w:p>
            <w:pPr>
              <w:rPr>
                <w:rFonts w:hint="default" w:ascii="Times New Roman" w:hAnsi="Times New Roman" w:eastAsia="宋体" w:cs="Times New Roman"/>
                <w:i w:val="0"/>
                <w:color w:val="000000"/>
                <w:sz w:val="20"/>
                <w:szCs w:val="20"/>
                <w:highlight w:val="none"/>
                <w:u w:val="none"/>
              </w:rPr>
            </w:pPr>
          </w:p>
        </w:tc>
        <w:tc>
          <w:tcPr>
            <w:tcW w:w="852" w:type="dxa"/>
            <w:noWrap w:val="0"/>
            <w:vAlign w:val="center"/>
          </w:tcPr>
          <w:p>
            <w:pPr>
              <w:rPr>
                <w:rFonts w:hint="default" w:ascii="Times New Roman" w:hAnsi="Times New Roman" w:eastAsia="宋体" w:cs="Times New Roman"/>
                <w:i w:val="0"/>
                <w:color w:val="000000"/>
                <w:sz w:val="20"/>
                <w:szCs w:val="20"/>
                <w:highlight w:val="none"/>
                <w:u w:val="none"/>
              </w:rPr>
            </w:pPr>
          </w:p>
        </w:tc>
        <w:tc>
          <w:tcPr>
            <w:tcW w:w="781" w:type="dxa"/>
            <w:noWrap w:val="0"/>
            <w:vAlign w:val="center"/>
          </w:tcPr>
          <w:p>
            <w:pPr>
              <w:rPr>
                <w:rFonts w:hint="default" w:ascii="Times New Roman" w:hAnsi="Times New Roman" w:eastAsia="宋体" w:cs="Times New Roman"/>
                <w:i w:val="0"/>
                <w:color w:val="000000"/>
                <w:sz w:val="20"/>
                <w:szCs w:val="20"/>
                <w:highlight w:val="none"/>
                <w:u w:val="none"/>
              </w:rPr>
            </w:pPr>
          </w:p>
        </w:tc>
        <w:tc>
          <w:tcPr>
            <w:tcW w:w="848" w:type="dxa"/>
            <w:noWrap w:val="0"/>
            <w:vAlign w:val="center"/>
          </w:tcPr>
          <w:p>
            <w:pPr>
              <w:rPr>
                <w:rFonts w:hint="default" w:ascii="Times New Roman" w:hAnsi="Times New Roman" w:eastAsia="宋体" w:cs="Times New Roman"/>
                <w:i w:val="0"/>
                <w:color w:val="000000"/>
                <w:sz w:val="20"/>
                <w:szCs w:val="20"/>
                <w:highlight w:val="none"/>
                <w:u w:val="none"/>
              </w:rPr>
            </w:pPr>
          </w:p>
        </w:tc>
        <w:tc>
          <w:tcPr>
            <w:tcW w:w="901" w:type="dxa"/>
            <w:noWrap w:val="0"/>
            <w:vAlign w:val="center"/>
          </w:tcPr>
          <w:p>
            <w:pPr>
              <w:rPr>
                <w:rFonts w:hint="default" w:ascii="Times New Roman" w:hAnsi="Times New Roman" w:eastAsia="宋体" w:cs="Times New Roman"/>
                <w:i w:val="0"/>
                <w:color w:val="000000"/>
                <w:sz w:val="20"/>
                <w:szCs w:val="20"/>
                <w:highlight w:val="none"/>
                <w:u w:val="none"/>
              </w:rPr>
            </w:pPr>
          </w:p>
        </w:tc>
        <w:tc>
          <w:tcPr>
            <w:tcW w:w="781" w:type="dxa"/>
            <w:noWrap w:val="0"/>
            <w:vAlign w:val="center"/>
          </w:tcPr>
          <w:p>
            <w:pPr>
              <w:rPr>
                <w:rFonts w:hint="default" w:ascii="Times New Roman" w:hAnsi="Times New Roman" w:eastAsia="宋体" w:cs="Times New Roman"/>
                <w:i w:val="0"/>
                <w:color w:val="000000"/>
                <w:sz w:val="20"/>
                <w:szCs w:val="20"/>
                <w:highlight w:val="none"/>
                <w:u w:val="none"/>
              </w:rPr>
            </w:pPr>
          </w:p>
        </w:tc>
        <w:tc>
          <w:tcPr>
            <w:tcW w:w="563" w:type="dxa"/>
            <w:noWrap w:val="0"/>
            <w:vAlign w:val="center"/>
          </w:tcPr>
          <w:p>
            <w:pPr>
              <w:rPr>
                <w:rFonts w:hint="default" w:ascii="Times New Roman" w:hAnsi="Times New Roman" w:eastAsia="宋体" w:cs="Times New Roman"/>
                <w:i w:val="0"/>
                <w:color w:val="000000"/>
                <w:sz w:val="20"/>
                <w:szCs w:val="20"/>
                <w:highlight w:val="none"/>
                <w:u w:val="none"/>
              </w:rPr>
            </w:pPr>
          </w:p>
        </w:tc>
        <w:tc>
          <w:tcPr>
            <w:tcW w:w="829" w:type="dxa"/>
            <w:noWrap w:val="0"/>
            <w:vAlign w:val="center"/>
          </w:tcPr>
          <w:p>
            <w:pPr>
              <w:rPr>
                <w:rFonts w:hint="default" w:ascii="Times New Roman" w:hAnsi="Times New Roman" w:eastAsia="宋体" w:cs="Times New Roman"/>
                <w:i w:val="0"/>
                <w:color w:val="000000"/>
                <w:sz w:val="20"/>
                <w:szCs w:val="20"/>
                <w:highlight w:val="none"/>
                <w:u w:val="none"/>
              </w:rPr>
            </w:pPr>
          </w:p>
        </w:tc>
        <w:tc>
          <w:tcPr>
            <w:tcW w:w="885" w:type="dxa"/>
            <w:noWrap w:val="0"/>
            <w:vAlign w:val="center"/>
          </w:tcPr>
          <w:p>
            <w:pPr>
              <w:rPr>
                <w:rFonts w:hint="default" w:ascii="Times New Roman" w:hAnsi="Times New Roman" w:eastAsia="宋体" w:cs="Times New Roman"/>
                <w:i w:val="0"/>
                <w:color w:val="000000"/>
                <w:sz w:val="20"/>
                <w:szCs w:val="20"/>
                <w:highlight w:val="none"/>
                <w:u w:val="none"/>
              </w:rPr>
            </w:pPr>
          </w:p>
        </w:tc>
        <w:tc>
          <w:tcPr>
            <w:tcW w:w="1192"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200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行政区划名称</w:t>
            </w:r>
          </w:p>
        </w:tc>
        <w:tc>
          <w:tcPr>
            <w:tcW w:w="248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政府债务限额总额</w:t>
            </w:r>
          </w:p>
        </w:tc>
        <w:tc>
          <w:tcPr>
            <w:tcW w:w="224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其中：新增债务限额</w:t>
            </w:r>
          </w:p>
        </w:tc>
        <w:tc>
          <w:tcPr>
            <w:tcW w:w="290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政府债务余额预计执行数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200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rPr>
            </w:pPr>
          </w:p>
        </w:tc>
        <w:tc>
          <w:tcPr>
            <w:tcW w:w="8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一般债务</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专项债务</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一般债务</w:t>
            </w:r>
          </w:p>
        </w:tc>
        <w:tc>
          <w:tcPr>
            <w:tcW w:w="5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专项债务</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一般债务</w:t>
            </w:r>
          </w:p>
        </w:tc>
        <w:tc>
          <w:tcPr>
            <w:tcW w:w="11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专项债务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97" w:hRule="atLeast"/>
          <w:jc w:val="center"/>
        </w:trPr>
        <w:tc>
          <w:tcPr>
            <w:tcW w:w="20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u w:val="none"/>
                <w:lang w:val="en-US" w:eastAsia="zh-CN" w:bidi="ar"/>
              </w:rPr>
              <w:t>喀什地区</w:t>
            </w:r>
          </w:p>
        </w:tc>
        <w:tc>
          <w:tcPr>
            <w:tcW w:w="8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29.73</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7.86</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21.87</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4.98</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0.2</w:t>
            </w:r>
          </w:p>
        </w:tc>
        <w:tc>
          <w:tcPr>
            <w:tcW w:w="56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4.78</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29.6</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7.73</w:t>
            </w:r>
          </w:p>
        </w:tc>
        <w:tc>
          <w:tcPr>
            <w:tcW w:w="119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21.87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7" w:hRule="atLeast"/>
          <w:jc w:val="center"/>
        </w:trPr>
        <w:tc>
          <w:tcPr>
            <w:tcW w:w="20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喀什地区</w:t>
            </w:r>
            <w:r>
              <w:rPr>
                <w:rFonts w:hint="default" w:ascii="Times New Roman" w:hAnsi="Times New Roman" w:eastAsia="宋体" w:cs="Times New Roman"/>
                <w:i w:val="0"/>
                <w:color w:val="000000"/>
                <w:kern w:val="0"/>
                <w:sz w:val="20"/>
                <w:szCs w:val="20"/>
                <w:highlight w:val="none"/>
                <w:u w:val="none"/>
                <w:lang w:val="en-US" w:eastAsia="zh-CN" w:bidi="ar"/>
              </w:rPr>
              <w:t>本级</w:t>
            </w:r>
          </w:p>
        </w:tc>
        <w:tc>
          <w:tcPr>
            <w:tcW w:w="8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29.73</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7.86</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21.87</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4.98</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0.2</w:t>
            </w:r>
          </w:p>
        </w:tc>
        <w:tc>
          <w:tcPr>
            <w:tcW w:w="56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4.78</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29.6</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7.73</w:t>
            </w:r>
          </w:p>
        </w:tc>
        <w:tc>
          <w:tcPr>
            <w:tcW w:w="119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21.87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92" w:hRule="atLeast"/>
          <w:jc w:val="center"/>
        </w:trPr>
        <w:tc>
          <w:tcPr>
            <w:tcW w:w="20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所属县（市、区）小计</w:t>
            </w:r>
          </w:p>
        </w:tc>
        <w:tc>
          <w:tcPr>
            <w:tcW w:w="8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29.73</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7.86</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21.87</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4.98</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0.2</w:t>
            </w:r>
          </w:p>
        </w:tc>
        <w:tc>
          <w:tcPr>
            <w:tcW w:w="56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4.78</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29.6</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7.73</w:t>
            </w:r>
          </w:p>
        </w:tc>
        <w:tc>
          <w:tcPr>
            <w:tcW w:w="119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21.87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57" w:hRule="atLeast"/>
          <w:jc w:val="center"/>
        </w:trPr>
        <w:tc>
          <w:tcPr>
            <w:tcW w:w="20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泽普县</w:t>
            </w:r>
          </w:p>
        </w:tc>
        <w:tc>
          <w:tcPr>
            <w:tcW w:w="8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29.73</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7.86</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21.87</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4.98</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0.2</w:t>
            </w:r>
          </w:p>
        </w:tc>
        <w:tc>
          <w:tcPr>
            <w:tcW w:w="56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4.78</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29.6</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7.73</w:t>
            </w:r>
          </w:p>
        </w:tc>
        <w:tc>
          <w:tcPr>
            <w:tcW w:w="119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21.87</w:t>
            </w:r>
          </w:p>
        </w:tc>
      </w:tr>
    </w:tbl>
    <w:p>
      <w:pPr>
        <w:pStyle w:val="2"/>
        <w:rPr>
          <w:rFonts w:hint="default" w:ascii="Times New Roman" w:hAnsi="Times New Roman" w:cs="Times New Roman"/>
          <w:lang w:val="en-US" w:eastAsia="zh-Hans"/>
        </w:rPr>
      </w:pPr>
    </w:p>
    <w:p>
      <w:pPr>
        <w:rPr>
          <w:rFonts w:hint="default"/>
          <w:lang w:val="en-US" w:eastAsia="zh-Hans"/>
        </w:rPr>
      </w:pPr>
    </w:p>
    <w:tbl>
      <w:tblPr>
        <w:tblStyle w:val="8"/>
        <w:tblW w:w="945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700"/>
        <w:gridCol w:w="904"/>
        <w:gridCol w:w="1247"/>
        <w:gridCol w:w="813"/>
        <w:gridCol w:w="885"/>
        <w:gridCol w:w="1069"/>
        <w:gridCol w:w="540"/>
        <w:gridCol w:w="904"/>
        <w:gridCol w:w="845"/>
        <w:gridCol w:w="5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6" w:hRule="atLeast"/>
          <w:jc w:val="center"/>
        </w:trPr>
        <w:tc>
          <w:tcPr>
            <w:tcW w:w="9453" w:type="dxa"/>
            <w:gridSpan w:val="10"/>
            <w:noWrap w:val="0"/>
            <w:vAlign w:val="center"/>
          </w:tcPr>
          <w:p>
            <w:pPr>
              <w:keepNext w:val="0"/>
              <w:keepLines w:val="0"/>
              <w:widowControl/>
              <w:suppressLineNumbers w:val="0"/>
              <w:jc w:val="left"/>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default" w:ascii="Times New Roman" w:hAnsi="Times New Roman" w:cs="Times New Roman"/>
                <w:i w:val="0"/>
                <w:color w:val="000000"/>
                <w:kern w:val="0"/>
                <w:sz w:val="20"/>
                <w:szCs w:val="20"/>
                <w:highlight w:val="none"/>
                <w:u w:val="none"/>
                <w:lang w:eastAsia="zh-CN" w:bidi="ar"/>
              </w:rPr>
              <w:t>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17" w:hRule="atLeast"/>
          <w:jc w:val="center"/>
        </w:trPr>
        <w:tc>
          <w:tcPr>
            <w:tcW w:w="9453" w:type="dxa"/>
            <w:gridSpan w:val="10"/>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2024</w:t>
            </w:r>
            <w:r>
              <w:rPr>
                <w:rFonts w:hint="default" w:ascii="Times New Roman" w:hAnsi="Times New Roman" w:cs="Times New Roman"/>
                <w:b/>
                <w:bCs/>
                <w:i w:val="0"/>
                <w:color w:val="000000"/>
                <w:kern w:val="0"/>
                <w:sz w:val="20"/>
                <w:szCs w:val="20"/>
                <w:highlight w:val="none"/>
                <w:u w:val="none"/>
                <w:lang w:eastAsia="zh-CN" w:bidi="ar"/>
              </w:rPr>
              <w:t>年度</w:t>
            </w:r>
            <w:r>
              <w:rPr>
                <w:rFonts w:hint="default" w:ascii="Times New Roman" w:hAnsi="Times New Roman" w:cs="Times New Roman"/>
                <w:b/>
                <w:i w:val="0"/>
                <w:color w:val="000000"/>
                <w:kern w:val="0"/>
                <w:sz w:val="20"/>
                <w:szCs w:val="20"/>
                <w:highlight w:val="none"/>
                <w:u w:val="none"/>
                <w:lang w:val="en-US" w:eastAsia="zh-CN" w:bidi="ar"/>
              </w:rPr>
              <w:t>泽普县</w:t>
            </w:r>
            <w:r>
              <w:rPr>
                <w:rFonts w:hint="default" w:ascii="Times New Roman" w:hAnsi="Times New Roman" w:eastAsia="宋体" w:cs="Times New Roman"/>
                <w:b/>
                <w:i w:val="0"/>
                <w:color w:val="000000"/>
                <w:kern w:val="0"/>
                <w:sz w:val="20"/>
                <w:szCs w:val="20"/>
                <w:highlight w:val="none"/>
                <w:u w:val="none"/>
                <w:lang w:val="en-US" w:eastAsia="zh-CN" w:bidi="ar"/>
              </w:rPr>
              <w:t>政府债券发行情况表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jc w:val="center"/>
        </w:trPr>
        <w:tc>
          <w:tcPr>
            <w:tcW w:w="3851" w:type="dxa"/>
            <w:gridSpan w:val="3"/>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813" w:type="dxa"/>
            <w:noWrap w:val="0"/>
            <w:vAlign w:val="center"/>
          </w:tcPr>
          <w:p>
            <w:pPr>
              <w:rPr>
                <w:rFonts w:hint="default" w:ascii="Times New Roman" w:hAnsi="Times New Roman" w:eastAsia="宋体" w:cs="Times New Roman"/>
                <w:i w:val="0"/>
                <w:color w:val="000000"/>
                <w:sz w:val="20"/>
                <w:szCs w:val="20"/>
                <w:highlight w:val="none"/>
                <w:u w:val="none"/>
              </w:rPr>
            </w:pPr>
          </w:p>
        </w:tc>
        <w:tc>
          <w:tcPr>
            <w:tcW w:w="885" w:type="dxa"/>
            <w:noWrap w:val="0"/>
            <w:vAlign w:val="center"/>
          </w:tcPr>
          <w:p>
            <w:pPr>
              <w:rPr>
                <w:rFonts w:hint="default" w:ascii="Times New Roman" w:hAnsi="Times New Roman" w:eastAsia="宋体" w:cs="Times New Roman"/>
                <w:i w:val="0"/>
                <w:color w:val="000000"/>
                <w:sz w:val="20"/>
                <w:szCs w:val="20"/>
                <w:highlight w:val="none"/>
                <w:u w:val="none"/>
              </w:rPr>
            </w:pPr>
          </w:p>
        </w:tc>
        <w:tc>
          <w:tcPr>
            <w:tcW w:w="1069" w:type="dxa"/>
            <w:noWrap w:val="0"/>
            <w:vAlign w:val="center"/>
          </w:tcPr>
          <w:p>
            <w:pPr>
              <w:rPr>
                <w:rFonts w:hint="default" w:ascii="Times New Roman" w:hAnsi="Times New Roman" w:eastAsia="宋体" w:cs="Times New Roman"/>
                <w:i w:val="0"/>
                <w:color w:val="000000"/>
                <w:sz w:val="20"/>
                <w:szCs w:val="20"/>
                <w:highlight w:val="none"/>
                <w:u w:val="none"/>
              </w:rPr>
            </w:pPr>
          </w:p>
        </w:tc>
        <w:tc>
          <w:tcPr>
            <w:tcW w:w="54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2295" w:type="dxa"/>
            <w:gridSpan w:val="3"/>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11" w:hRule="atLeast"/>
          <w:jc w:val="center"/>
        </w:trPr>
        <w:tc>
          <w:tcPr>
            <w:tcW w:w="170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行政区划名称</w:t>
            </w:r>
          </w:p>
        </w:tc>
        <w:tc>
          <w:tcPr>
            <w:tcW w:w="296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政府债券发行总额</w:t>
            </w:r>
          </w:p>
        </w:tc>
        <w:tc>
          <w:tcPr>
            <w:tcW w:w="249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其中：新增债券额度</w:t>
            </w:r>
          </w:p>
        </w:tc>
        <w:tc>
          <w:tcPr>
            <w:tcW w:w="229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其中：再融资债券额度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38" w:hRule="atLeast"/>
          <w:jc w:val="center"/>
        </w:trPr>
        <w:tc>
          <w:tcPr>
            <w:tcW w:w="170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rPr>
            </w:pP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12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新增债券</w:t>
            </w:r>
          </w:p>
        </w:tc>
        <w:tc>
          <w:tcPr>
            <w:tcW w:w="8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再融资债券</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小计</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一般债券</w:t>
            </w:r>
          </w:p>
        </w:tc>
        <w:tc>
          <w:tcPr>
            <w:tcW w:w="5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专项债券</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小计</w:t>
            </w: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一般债券</w:t>
            </w:r>
          </w:p>
        </w:tc>
        <w:tc>
          <w:tcPr>
            <w:tcW w:w="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专项债券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1" w:hRule="atLeast"/>
          <w:jc w:val="center"/>
        </w:trPr>
        <w:tc>
          <w:tcPr>
            <w:tcW w:w="17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u w:val="none"/>
                <w:lang w:val="en-US" w:eastAsia="zh-CN" w:bidi="ar"/>
              </w:rPr>
              <w:t>喀什地区</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5.16</w:t>
            </w:r>
          </w:p>
        </w:tc>
        <w:tc>
          <w:tcPr>
            <w:tcW w:w="124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4.982</w:t>
            </w:r>
          </w:p>
        </w:tc>
        <w:tc>
          <w:tcPr>
            <w:tcW w:w="8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0.178</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4.982</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0.2</w:t>
            </w:r>
          </w:p>
        </w:tc>
        <w:tc>
          <w:tcPr>
            <w:tcW w:w="5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4.78</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0.178</w:t>
            </w: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0.178</w:t>
            </w:r>
          </w:p>
        </w:tc>
        <w:tc>
          <w:tcPr>
            <w:tcW w:w="5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35" w:hRule="atLeast"/>
          <w:jc w:val="center"/>
        </w:trPr>
        <w:tc>
          <w:tcPr>
            <w:tcW w:w="17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u w:val="none"/>
                <w:lang w:val="en-US" w:eastAsia="zh-CN" w:bidi="ar"/>
              </w:rPr>
              <w:t>喀什地区</w:t>
            </w:r>
            <w:r>
              <w:rPr>
                <w:rFonts w:hint="default" w:ascii="Times New Roman" w:hAnsi="Times New Roman" w:eastAsia="宋体" w:cs="Times New Roman"/>
                <w:i w:val="0"/>
                <w:color w:val="000000"/>
                <w:kern w:val="0"/>
                <w:sz w:val="20"/>
                <w:szCs w:val="20"/>
                <w:u w:val="none"/>
                <w:lang w:val="en-US" w:eastAsia="zh-CN" w:bidi="ar"/>
              </w:rPr>
              <w:t>本</w:t>
            </w:r>
            <w:r>
              <w:rPr>
                <w:rFonts w:hint="default" w:ascii="Times New Roman" w:hAnsi="Times New Roman" w:cs="Times New Roman"/>
                <w:i w:val="0"/>
                <w:color w:val="000000"/>
                <w:kern w:val="0"/>
                <w:sz w:val="20"/>
                <w:szCs w:val="20"/>
                <w:u w:val="none"/>
                <w:lang w:val="en-US" w:eastAsia="zh-CN" w:bidi="ar"/>
              </w:rPr>
              <w:t>级</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5.16</w:t>
            </w:r>
          </w:p>
        </w:tc>
        <w:tc>
          <w:tcPr>
            <w:tcW w:w="124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4.982</w:t>
            </w:r>
          </w:p>
        </w:tc>
        <w:tc>
          <w:tcPr>
            <w:tcW w:w="8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0.178</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4.982</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0.2</w:t>
            </w:r>
          </w:p>
        </w:tc>
        <w:tc>
          <w:tcPr>
            <w:tcW w:w="5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4.78</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0.178</w:t>
            </w: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0.178</w:t>
            </w:r>
          </w:p>
        </w:tc>
        <w:tc>
          <w:tcPr>
            <w:tcW w:w="5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53" w:hRule="atLeast"/>
          <w:jc w:val="center"/>
        </w:trPr>
        <w:tc>
          <w:tcPr>
            <w:tcW w:w="17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u w:val="none"/>
                <w:lang w:val="en-US" w:eastAsia="zh-CN" w:bidi="ar"/>
              </w:rPr>
              <w:t>所属县（市、区）小计</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5.16</w:t>
            </w:r>
          </w:p>
        </w:tc>
        <w:tc>
          <w:tcPr>
            <w:tcW w:w="124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4.982</w:t>
            </w:r>
          </w:p>
        </w:tc>
        <w:tc>
          <w:tcPr>
            <w:tcW w:w="8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0.178</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4.982</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0.2</w:t>
            </w:r>
          </w:p>
        </w:tc>
        <w:tc>
          <w:tcPr>
            <w:tcW w:w="5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4.78</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0.178</w:t>
            </w: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0.178</w:t>
            </w:r>
          </w:p>
        </w:tc>
        <w:tc>
          <w:tcPr>
            <w:tcW w:w="5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1" w:hRule="atLeast"/>
          <w:jc w:val="center"/>
        </w:trPr>
        <w:tc>
          <w:tcPr>
            <w:tcW w:w="17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泽普县</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5.16</w:t>
            </w:r>
          </w:p>
        </w:tc>
        <w:tc>
          <w:tcPr>
            <w:tcW w:w="124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4.982</w:t>
            </w:r>
          </w:p>
        </w:tc>
        <w:tc>
          <w:tcPr>
            <w:tcW w:w="8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0.178</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4.982</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0.2</w:t>
            </w:r>
          </w:p>
        </w:tc>
        <w:tc>
          <w:tcPr>
            <w:tcW w:w="5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4.78</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0.178</w:t>
            </w: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0.178</w:t>
            </w:r>
          </w:p>
        </w:tc>
        <w:tc>
          <w:tcPr>
            <w:tcW w:w="5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bl>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Hans" w:bidi="ar"/>
        </w:rPr>
      </w:pPr>
    </w:p>
    <w:tbl>
      <w:tblPr>
        <w:tblStyle w:val="8"/>
        <w:tblpPr w:leftFromText="180" w:rightFromText="180" w:vertAnchor="text" w:horzAnchor="page" w:tblpX="249" w:tblpY="-9050"/>
        <w:tblOverlap w:val="never"/>
        <w:tblW w:w="1117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446"/>
        <w:gridCol w:w="1350"/>
        <w:gridCol w:w="795"/>
        <w:gridCol w:w="810"/>
        <w:gridCol w:w="750"/>
        <w:gridCol w:w="795"/>
        <w:gridCol w:w="840"/>
        <w:gridCol w:w="825"/>
        <w:gridCol w:w="720"/>
        <w:gridCol w:w="705"/>
        <w:gridCol w:w="840"/>
        <w:gridCol w:w="840"/>
        <w:gridCol w:w="840"/>
        <w:gridCol w:w="6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11173" w:type="dxa"/>
            <w:gridSpan w:val="14"/>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eastAsia="zh-CN" w:bidi="ar"/>
              </w:rPr>
              <w:t>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11173" w:type="dxa"/>
            <w:gridSpan w:val="14"/>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2024</w:t>
            </w:r>
            <w:r>
              <w:rPr>
                <w:rFonts w:hint="default" w:ascii="Times New Roman" w:hAnsi="Times New Roman" w:cs="Times New Roman"/>
                <w:b/>
                <w:bCs/>
                <w:i w:val="0"/>
                <w:color w:val="000000"/>
                <w:kern w:val="0"/>
                <w:sz w:val="20"/>
                <w:szCs w:val="20"/>
                <w:highlight w:val="none"/>
                <w:u w:val="none"/>
                <w:lang w:eastAsia="zh-CN" w:bidi="ar"/>
              </w:rPr>
              <w:t>年度</w:t>
            </w:r>
            <w:r>
              <w:rPr>
                <w:rFonts w:hint="default" w:ascii="Times New Roman" w:hAnsi="Times New Roman" w:cs="Times New Roman"/>
                <w:b/>
                <w:i w:val="0"/>
                <w:color w:val="000000"/>
                <w:kern w:val="0"/>
                <w:sz w:val="20"/>
                <w:szCs w:val="20"/>
                <w:highlight w:val="none"/>
                <w:u w:val="none"/>
                <w:lang w:val="en-US" w:eastAsia="zh-CN" w:bidi="ar"/>
              </w:rPr>
              <w:t>泽普县</w:t>
            </w:r>
            <w:r>
              <w:rPr>
                <w:rFonts w:hint="default" w:ascii="Times New Roman" w:hAnsi="Times New Roman" w:eastAsia="宋体" w:cs="Times New Roman"/>
                <w:b/>
                <w:i w:val="0"/>
                <w:color w:val="000000"/>
                <w:kern w:val="0"/>
                <w:sz w:val="20"/>
                <w:szCs w:val="20"/>
                <w:highlight w:val="none"/>
                <w:u w:val="none"/>
                <w:lang w:val="en-US" w:eastAsia="zh-CN" w:bidi="ar"/>
              </w:rPr>
              <w:t>政府债券发行情况明细表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46"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50"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95"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10"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50"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95"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25"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20"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545" w:type="dxa"/>
            <w:gridSpan w:val="2"/>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84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1457" w:type="dxa"/>
            <w:gridSpan w:val="2"/>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1796"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债券类型</w:t>
            </w:r>
          </w:p>
        </w:tc>
        <w:tc>
          <w:tcPr>
            <w:tcW w:w="235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地方政府债券</w:t>
            </w:r>
          </w:p>
        </w:tc>
        <w:tc>
          <w:tcPr>
            <w:tcW w:w="246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新增债券</w:t>
            </w:r>
          </w:p>
        </w:tc>
        <w:tc>
          <w:tcPr>
            <w:tcW w:w="22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置换债券</w:t>
            </w:r>
          </w:p>
        </w:tc>
        <w:tc>
          <w:tcPr>
            <w:tcW w:w="229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再融资债券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179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w:t>
            </w: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小计</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5.06</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0.38</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4.68</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4.4</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0.2</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4.2</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0.66</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0.18</w:t>
            </w: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2.32</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2.14</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2.34</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2.36</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2.24</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2.37</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2.06</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2.02</w:t>
            </w: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3年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5年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0.18</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0.18</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0.18</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0.18</w:t>
            </w: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2.02</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2.02</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2.02</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2.02</w:t>
            </w: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7年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pStyle w:val="7"/>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lang w:val="en-US" w:eastAsia="zh-CN"/>
              </w:rPr>
              <w:t>3.48</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0.1</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3.38</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3</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0.1</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2.9</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0.48</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2.29</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2.17</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2.29</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2.32</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2.17</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2.33</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2.07</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15年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0.9</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0.1</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0.8</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0.9</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0.1</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0.8</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2.38</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2.32</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2.39</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2.38</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2.32</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2.39</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0.5</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0.5</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0.5</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0.5</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2.56</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2.56</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2.56</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2.56</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25年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30年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bl>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Hans" w:bidi="ar"/>
        </w:rPr>
      </w:pPr>
    </w:p>
    <w:p>
      <w:pPr>
        <w:pStyle w:val="7"/>
        <w:rPr>
          <w:rFonts w:hint="default" w:ascii="Times New Roman" w:hAnsi="Times New Roman" w:eastAsia="宋体" w:cs="Times New Roman"/>
          <w:i w:val="0"/>
          <w:color w:val="000000"/>
          <w:kern w:val="0"/>
          <w:sz w:val="20"/>
          <w:szCs w:val="20"/>
          <w:highlight w:val="none"/>
          <w:u w:val="none"/>
          <w:lang w:val="en-US" w:eastAsia="zh-Hans" w:bidi="ar"/>
        </w:rPr>
      </w:pPr>
    </w:p>
    <w:p>
      <w:pPr>
        <w:pStyle w:val="7"/>
        <w:rPr>
          <w:rFonts w:hint="default" w:ascii="Times New Roman" w:hAnsi="Times New Roman" w:eastAsia="宋体" w:cs="Times New Roman"/>
          <w:i w:val="0"/>
          <w:color w:val="000000"/>
          <w:kern w:val="0"/>
          <w:sz w:val="20"/>
          <w:szCs w:val="20"/>
          <w:highlight w:val="none"/>
          <w:u w:val="none"/>
          <w:lang w:val="en-US" w:eastAsia="zh-Hans" w:bidi="ar"/>
        </w:rPr>
      </w:pPr>
    </w:p>
    <w:tbl>
      <w:tblPr>
        <w:tblStyle w:val="8"/>
        <w:tblpPr w:leftFromText="180" w:rightFromText="180" w:vertAnchor="text" w:horzAnchor="page" w:tblpXSpec="center" w:tblpY="240"/>
        <w:tblOverlap w:val="never"/>
        <w:tblW w:w="110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452"/>
        <w:gridCol w:w="737"/>
        <w:gridCol w:w="1455"/>
        <w:gridCol w:w="3002"/>
        <w:gridCol w:w="2480"/>
        <w:gridCol w:w="930"/>
        <w:gridCol w:w="960"/>
        <w:gridCol w:w="9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40" w:hRule="atLeast"/>
          <w:jc w:val="center"/>
        </w:trPr>
        <w:tc>
          <w:tcPr>
            <w:tcW w:w="11010" w:type="dxa"/>
            <w:gridSpan w:val="8"/>
            <w:noWrap w:val="0"/>
            <w:vAlign w:val="center"/>
          </w:tcPr>
          <w:p>
            <w:pPr>
              <w:keepNext w:val="0"/>
              <w:keepLines w:val="0"/>
              <w:widowControl/>
              <w:suppressLineNumbers w:val="0"/>
              <w:spacing w:line="240" w:lineRule="exact"/>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p>
          <w:p>
            <w:pPr>
              <w:keepNext w:val="0"/>
              <w:keepLines w:val="0"/>
              <w:widowControl/>
              <w:suppressLineNumbers w:val="0"/>
              <w:spacing w:line="240" w:lineRule="exact"/>
              <w:jc w:val="left"/>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default" w:ascii="Times New Roman" w:hAnsi="Times New Roman" w:cs="Times New Roman"/>
                <w:i w:val="0"/>
                <w:color w:val="000000"/>
                <w:kern w:val="0"/>
                <w:sz w:val="20"/>
                <w:szCs w:val="20"/>
                <w:highlight w:val="none"/>
                <w:u w:val="none"/>
                <w:lang w:eastAsia="zh-CN" w:bidi="ar"/>
              </w:rPr>
              <w:t>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jc w:val="center"/>
        </w:trPr>
        <w:tc>
          <w:tcPr>
            <w:tcW w:w="11010" w:type="dxa"/>
            <w:gridSpan w:val="8"/>
            <w:noWrap w:val="0"/>
            <w:vAlign w:val="center"/>
          </w:tcPr>
          <w:p>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2024</w:t>
            </w:r>
            <w:r>
              <w:rPr>
                <w:rFonts w:hint="default" w:ascii="Times New Roman" w:hAnsi="Times New Roman" w:cs="Times New Roman"/>
                <w:b/>
                <w:bCs/>
                <w:i w:val="0"/>
                <w:color w:val="000000"/>
                <w:kern w:val="0"/>
                <w:sz w:val="20"/>
                <w:szCs w:val="20"/>
                <w:highlight w:val="none"/>
                <w:u w:val="none"/>
                <w:lang w:eastAsia="zh-CN" w:bidi="ar"/>
              </w:rPr>
              <w:t>年度泽普县</w:t>
            </w:r>
            <w:r>
              <w:rPr>
                <w:rFonts w:hint="default" w:ascii="Times New Roman" w:hAnsi="Times New Roman" w:eastAsia="宋体" w:cs="Times New Roman"/>
                <w:b/>
                <w:i w:val="0"/>
                <w:color w:val="000000"/>
                <w:kern w:val="0"/>
                <w:sz w:val="20"/>
                <w:szCs w:val="20"/>
                <w:highlight w:val="none"/>
                <w:u w:val="none"/>
                <w:lang w:val="en-US" w:eastAsia="zh-CN" w:bidi="ar"/>
              </w:rPr>
              <w:t>新增债券使用情况表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jc w:val="center"/>
        </w:trPr>
        <w:tc>
          <w:tcPr>
            <w:tcW w:w="452" w:type="dxa"/>
            <w:noWrap w:val="0"/>
            <w:vAlign w:val="center"/>
          </w:tcPr>
          <w:p>
            <w:pPr>
              <w:spacing w:line="240" w:lineRule="exact"/>
              <w:rPr>
                <w:rFonts w:hint="default" w:ascii="Times New Roman" w:hAnsi="Times New Roman" w:eastAsia="宋体" w:cs="Times New Roman"/>
                <w:i w:val="0"/>
                <w:color w:val="000000"/>
                <w:sz w:val="20"/>
                <w:szCs w:val="20"/>
                <w:highlight w:val="none"/>
                <w:u w:val="none"/>
              </w:rPr>
            </w:pPr>
          </w:p>
        </w:tc>
        <w:tc>
          <w:tcPr>
            <w:tcW w:w="737" w:type="dxa"/>
            <w:noWrap w:val="0"/>
            <w:vAlign w:val="center"/>
          </w:tcPr>
          <w:p>
            <w:pPr>
              <w:spacing w:line="240" w:lineRule="exact"/>
              <w:rPr>
                <w:rFonts w:hint="default" w:ascii="Times New Roman" w:hAnsi="Times New Roman" w:eastAsia="宋体" w:cs="Times New Roman"/>
                <w:i w:val="0"/>
                <w:color w:val="000000"/>
                <w:sz w:val="20"/>
                <w:szCs w:val="20"/>
                <w:highlight w:val="none"/>
                <w:u w:val="none"/>
              </w:rPr>
            </w:pPr>
          </w:p>
        </w:tc>
        <w:tc>
          <w:tcPr>
            <w:tcW w:w="1455" w:type="dxa"/>
            <w:noWrap w:val="0"/>
            <w:vAlign w:val="center"/>
          </w:tcPr>
          <w:p>
            <w:pPr>
              <w:spacing w:line="240" w:lineRule="exact"/>
              <w:rPr>
                <w:rFonts w:hint="default" w:ascii="Times New Roman" w:hAnsi="Times New Roman" w:eastAsia="宋体" w:cs="Times New Roman"/>
                <w:i w:val="0"/>
                <w:color w:val="000000"/>
                <w:sz w:val="20"/>
                <w:szCs w:val="20"/>
                <w:highlight w:val="none"/>
                <w:u w:val="none"/>
              </w:rPr>
            </w:pPr>
          </w:p>
        </w:tc>
        <w:tc>
          <w:tcPr>
            <w:tcW w:w="5482" w:type="dxa"/>
            <w:gridSpan w:val="2"/>
            <w:noWrap w:val="0"/>
            <w:vAlign w:val="center"/>
          </w:tcPr>
          <w:p>
            <w:pPr>
              <w:spacing w:line="240" w:lineRule="exact"/>
              <w:jc w:val="left"/>
              <w:rPr>
                <w:rFonts w:hint="default" w:ascii="Times New Roman" w:hAnsi="Times New Roman" w:eastAsia="宋体" w:cs="Times New Roman"/>
                <w:i w:val="0"/>
                <w:color w:val="000000"/>
                <w:sz w:val="20"/>
                <w:szCs w:val="20"/>
                <w:highlight w:val="none"/>
                <w:u w:val="none"/>
              </w:rPr>
            </w:pPr>
          </w:p>
        </w:tc>
        <w:tc>
          <w:tcPr>
            <w:tcW w:w="2884" w:type="dxa"/>
            <w:gridSpan w:val="3"/>
            <w:noWrap w:val="0"/>
            <w:vAlign w:val="center"/>
          </w:tcPr>
          <w:p>
            <w:pPr>
              <w:keepNext w:val="0"/>
              <w:keepLines w:val="0"/>
              <w:widowControl/>
              <w:suppressLineNumbers w:val="0"/>
              <w:spacing w:line="240" w:lineRule="exact"/>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75"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序号</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区划</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项目单位</w:t>
            </w:r>
          </w:p>
        </w:tc>
        <w:tc>
          <w:tcPr>
            <w:tcW w:w="30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项目名称</w:t>
            </w:r>
          </w:p>
        </w:tc>
        <w:tc>
          <w:tcPr>
            <w:tcW w:w="24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项目领域</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债券性质</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债券金额</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实际支出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1</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653124</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default" w:ascii="Times New Roman" w:hAnsi="Times New Roman" w:eastAsia="宋体" w:cs="Times New Roman"/>
                <w:i w:val="0"/>
                <w:color w:val="000000"/>
                <w:sz w:val="20"/>
                <w:szCs w:val="20"/>
                <w:highlight w:val="none"/>
                <w:u w:val="none"/>
                <w:lang w:eastAsia="zh-CN"/>
              </w:rPr>
            </w:pPr>
            <w:r>
              <w:rPr>
                <w:rFonts w:hint="default" w:ascii="Times New Roman" w:hAnsi="Times New Roman" w:cs="Times New Roman"/>
                <w:i w:val="0"/>
                <w:color w:val="000000"/>
                <w:sz w:val="20"/>
                <w:szCs w:val="20"/>
                <w:highlight w:val="none"/>
                <w:u w:val="none"/>
                <w:lang w:eastAsia="zh-CN"/>
              </w:rPr>
              <w:t>卫健委</w:t>
            </w:r>
          </w:p>
        </w:tc>
        <w:tc>
          <w:tcPr>
            <w:tcW w:w="300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sz w:val="20"/>
                <w:szCs w:val="20"/>
                <w:highlight w:val="none"/>
                <w:u w:val="none"/>
              </w:rPr>
              <w:t>喀什地区泽普县公共卫生应急救治能力提升项目</w:t>
            </w:r>
          </w:p>
        </w:tc>
        <w:tc>
          <w:tcPr>
            <w:tcW w:w="248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lang w:eastAsia="zh-CN"/>
              </w:rPr>
            </w:pPr>
            <w:r>
              <w:rPr>
                <w:rFonts w:hint="default" w:ascii="Times New Roman" w:hAnsi="Times New Roman" w:cs="Times New Roman"/>
                <w:i w:val="0"/>
                <w:color w:val="000000"/>
                <w:sz w:val="20"/>
                <w:szCs w:val="20"/>
                <w:highlight w:val="none"/>
                <w:u w:val="none"/>
                <w:lang w:eastAsia="zh-CN"/>
              </w:rPr>
              <w:t>医疗卫生</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exact"/>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专项债券</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0.2</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2</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653124</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sz w:val="20"/>
                <w:szCs w:val="20"/>
                <w:highlight w:val="none"/>
                <w:u w:val="none"/>
              </w:rPr>
              <w:t>农业农村局</w:t>
            </w:r>
          </w:p>
        </w:tc>
        <w:tc>
          <w:tcPr>
            <w:tcW w:w="300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left"/>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sz w:val="20"/>
                <w:szCs w:val="20"/>
                <w:highlight w:val="none"/>
                <w:u w:val="none"/>
              </w:rPr>
              <w:t>莎车县现代农业（肉羊）产业园-泽普县场项目</w:t>
            </w:r>
          </w:p>
        </w:tc>
        <w:tc>
          <w:tcPr>
            <w:tcW w:w="248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lang w:eastAsia="zh-CN"/>
              </w:rPr>
            </w:pPr>
            <w:r>
              <w:rPr>
                <w:rFonts w:hint="default" w:ascii="Times New Roman" w:hAnsi="Times New Roman" w:cs="Times New Roman"/>
                <w:i w:val="0"/>
                <w:color w:val="000000"/>
                <w:sz w:val="20"/>
                <w:szCs w:val="20"/>
                <w:highlight w:val="none"/>
                <w:u w:val="none"/>
                <w:lang w:eastAsia="zh-CN"/>
              </w:rPr>
              <w:t>农业</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exact"/>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专项债券</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0.4</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3</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653124</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sz w:val="20"/>
                <w:szCs w:val="20"/>
                <w:highlight w:val="none"/>
                <w:u w:val="none"/>
              </w:rPr>
              <w:t>住建局</w:t>
            </w:r>
          </w:p>
        </w:tc>
        <w:tc>
          <w:tcPr>
            <w:tcW w:w="300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left"/>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sz w:val="20"/>
                <w:szCs w:val="20"/>
                <w:highlight w:val="none"/>
                <w:u w:val="none"/>
              </w:rPr>
              <w:t>喀什地区泽普县2022年棚户区改造配套附属设施建设项目</w:t>
            </w:r>
          </w:p>
        </w:tc>
        <w:tc>
          <w:tcPr>
            <w:tcW w:w="248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lang w:eastAsia="zh-CN"/>
              </w:rPr>
            </w:pPr>
            <w:r>
              <w:rPr>
                <w:rFonts w:hint="default" w:ascii="Times New Roman" w:hAnsi="Times New Roman" w:cs="Times New Roman"/>
                <w:i w:val="0"/>
                <w:color w:val="000000"/>
                <w:sz w:val="20"/>
                <w:szCs w:val="20"/>
                <w:highlight w:val="none"/>
                <w:u w:val="none"/>
                <w:lang w:eastAsia="zh-CN"/>
              </w:rPr>
              <w:t>棚户区</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专项债券</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0.2</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4</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653124</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sz w:val="20"/>
                <w:szCs w:val="20"/>
                <w:highlight w:val="none"/>
                <w:u w:val="none"/>
              </w:rPr>
              <w:t>布依鲁克</w:t>
            </w:r>
            <w:r>
              <w:rPr>
                <w:rFonts w:hint="default" w:ascii="Times New Roman" w:hAnsi="Times New Roman" w:cs="Times New Roman"/>
                <w:i w:val="0"/>
                <w:color w:val="000000"/>
                <w:sz w:val="20"/>
                <w:szCs w:val="20"/>
                <w:highlight w:val="none"/>
                <w:u w:val="none"/>
                <w:lang w:eastAsia="zh-CN"/>
              </w:rPr>
              <w:t>塔吉克</w:t>
            </w:r>
            <w:r>
              <w:rPr>
                <w:rFonts w:hint="default" w:ascii="Times New Roman" w:hAnsi="Times New Roman" w:eastAsia="宋体" w:cs="Times New Roman"/>
                <w:i w:val="0"/>
                <w:color w:val="000000"/>
                <w:sz w:val="20"/>
                <w:szCs w:val="20"/>
                <w:highlight w:val="none"/>
                <w:u w:val="none"/>
              </w:rPr>
              <w:t>乡人民政府</w:t>
            </w:r>
          </w:p>
        </w:tc>
        <w:tc>
          <w:tcPr>
            <w:tcW w:w="300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left"/>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sz w:val="20"/>
                <w:szCs w:val="20"/>
                <w:highlight w:val="none"/>
                <w:u w:val="none"/>
              </w:rPr>
              <w:t>布依鲁克乡布依鲁克2村重点示范村乡村振兴建设项目</w:t>
            </w:r>
          </w:p>
        </w:tc>
        <w:tc>
          <w:tcPr>
            <w:tcW w:w="248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lang w:eastAsia="zh-CN"/>
              </w:rPr>
            </w:pPr>
            <w:r>
              <w:rPr>
                <w:rFonts w:hint="default" w:ascii="Times New Roman" w:hAnsi="Times New Roman" w:cs="Times New Roman"/>
                <w:i w:val="0"/>
                <w:color w:val="000000"/>
                <w:sz w:val="20"/>
                <w:szCs w:val="20"/>
                <w:highlight w:val="none"/>
                <w:u w:val="none"/>
                <w:lang w:eastAsia="zh-CN"/>
              </w:rPr>
              <w:t>农业</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lang w:eastAsia="zh-CN"/>
              </w:rPr>
            </w:pPr>
            <w:r>
              <w:rPr>
                <w:rFonts w:hint="default" w:ascii="Times New Roman" w:hAnsi="Times New Roman" w:cs="Times New Roman"/>
                <w:i w:val="0"/>
                <w:color w:val="000000"/>
                <w:sz w:val="20"/>
                <w:szCs w:val="20"/>
                <w:highlight w:val="none"/>
                <w:u w:val="none"/>
                <w:lang w:eastAsia="zh-CN"/>
              </w:rPr>
              <w:t>一般债券</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0.1</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5</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653124</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eastAsia="zh-CN"/>
              </w:rPr>
              <w:t>卫健委</w:t>
            </w:r>
          </w:p>
        </w:tc>
        <w:tc>
          <w:tcPr>
            <w:tcW w:w="300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left"/>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sz w:val="20"/>
                <w:szCs w:val="20"/>
                <w:highlight w:val="none"/>
                <w:u w:val="none"/>
              </w:rPr>
              <w:t>喀什地区泽普县公共卫生应急救治能力提升项目</w:t>
            </w:r>
          </w:p>
        </w:tc>
        <w:tc>
          <w:tcPr>
            <w:tcW w:w="248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eastAsia="zh-CN"/>
              </w:rPr>
              <w:t>医疗卫生</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专项债券</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0.2</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6</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653124</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default" w:ascii="Times New Roman" w:hAnsi="Times New Roman" w:eastAsia="宋体" w:cs="Times New Roman"/>
                <w:i w:val="0"/>
                <w:color w:val="000000"/>
                <w:sz w:val="20"/>
                <w:szCs w:val="20"/>
                <w:highlight w:val="none"/>
                <w:u w:val="none"/>
                <w:lang w:eastAsia="zh-CN"/>
              </w:rPr>
            </w:pPr>
            <w:r>
              <w:rPr>
                <w:rFonts w:hint="default" w:ascii="Times New Roman" w:hAnsi="Times New Roman" w:cs="Times New Roman"/>
                <w:i w:val="0"/>
                <w:color w:val="000000"/>
                <w:sz w:val="20"/>
                <w:szCs w:val="20"/>
                <w:highlight w:val="none"/>
                <w:u w:val="none"/>
                <w:lang w:eastAsia="zh-CN"/>
              </w:rPr>
              <w:t>交通局</w:t>
            </w:r>
          </w:p>
        </w:tc>
        <w:tc>
          <w:tcPr>
            <w:tcW w:w="300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left"/>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sz w:val="20"/>
                <w:szCs w:val="20"/>
                <w:highlight w:val="none"/>
                <w:u w:val="none"/>
              </w:rPr>
              <w:t>S517泽普立交至金湖杨公路工程</w:t>
            </w:r>
          </w:p>
        </w:tc>
        <w:tc>
          <w:tcPr>
            <w:tcW w:w="248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lang w:eastAsia="zh-CN"/>
              </w:rPr>
            </w:pPr>
            <w:r>
              <w:rPr>
                <w:rFonts w:hint="default" w:ascii="Times New Roman" w:hAnsi="Times New Roman" w:cs="Times New Roman"/>
                <w:i w:val="0"/>
                <w:color w:val="000000"/>
                <w:sz w:val="20"/>
                <w:szCs w:val="20"/>
                <w:highlight w:val="none"/>
                <w:u w:val="none"/>
                <w:lang w:eastAsia="zh-CN"/>
              </w:rPr>
              <w:t>交通</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lang w:eastAsia="zh-CN"/>
              </w:rPr>
            </w:pPr>
            <w:r>
              <w:rPr>
                <w:rFonts w:hint="default" w:ascii="Times New Roman" w:hAnsi="Times New Roman" w:cs="Times New Roman"/>
                <w:i w:val="0"/>
                <w:color w:val="000000"/>
                <w:sz w:val="20"/>
                <w:szCs w:val="20"/>
                <w:highlight w:val="none"/>
                <w:u w:val="none"/>
                <w:lang w:eastAsia="zh-CN"/>
              </w:rPr>
              <w:t>一般债券</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0.1</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7</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653124</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eastAsia="zh-CN"/>
              </w:rPr>
              <w:t>卫健委</w:t>
            </w:r>
          </w:p>
        </w:tc>
        <w:tc>
          <w:tcPr>
            <w:tcW w:w="300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left"/>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sz w:val="20"/>
                <w:szCs w:val="20"/>
                <w:highlight w:val="none"/>
                <w:u w:val="none"/>
              </w:rPr>
              <w:t>喀什地区泽普县公共卫生应急救治能力提升项目</w:t>
            </w:r>
          </w:p>
        </w:tc>
        <w:tc>
          <w:tcPr>
            <w:tcW w:w="248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eastAsia="zh-CN"/>
              </w:rPr>
              <w:t>医疗卫生</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专项债券</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1.6</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8</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653124</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default" w:ascii="Times New Roman" w:hAnsi="Times New Roman" w:eastAsia="宋体" w:cs="Times New Roman"/>
                <w:i w:val="0"/>
                <w:color w:val="000000"/>
                <w:sz w:val="20"/>
                <w:szCs w:val="20"/>
                <w:highlight w:val="none"/>
                <w:u w:val="none"/>
                <w:lang w:eastAsia="zh-CN"/>
              </w:rPr>
            </w:pPr>
            <w:r>
              <w:rPr>
                <w:rFonts w:hint="default" w:ascii="Times New Roman" w:hAnsi="Times New Roman" w:cs="Times New Roman"/>
                <w:i w:val="0"/>
                <w:color w:val="000000"/>
                <w:sz w:val="20"/>
                <w:szCs w:val="20"/>
                <w:highlight w:val="none"/>
                <w:u w:val="none"/>
                <w:lang w:eastAsia="zh-CN"/>
              </w:rPr>
              <w:t>住建局</w:t>
            </w:r>
          </w:p>
        </w:tc>
        <w:tc>
          <w:tcPr>
            <w:tcW w:w="300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left"/>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sz w:val="20"/>
                <w:szCs w:val="20"/>
                <w:highlight w:val="none"/>
                <w:u w:val="none"/>
              </w:rPr>
              <w:t>喀什地区泽普县集中供热热源改造建设项目</w:t>
            </w:r>
          </w:p>
        </w:tc>
        <w:tc>
          <w:tcPr>
            <w:tcW w:w="248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lang w:eastAsia="zh-CN"/>
              </w:rPr>
            </w:pPr>
            <w:r>
              <w:rPr>
                <w:rFonts w:hint="default" w:ascii="Times New Roman" w:hAnsi="Times New Roman" w:cs="Times New Roman"/>
                <w:i w:val="0"/>
                <w:color w:val="000000"/>
                <w:sz w:val="20"/>
                <w:szCs w:val="20"/>
                <w:highlight w:val="none"/>
                <w:u w:val="none"/>
                <w:lang w:eastAsia="zh-CN"/>
              </w:rPr>
              <w:t>供热</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专项债券</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0.2</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9</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653124</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default" w:ascii="Times New Roman" w:hAnsi="Times New Roman" w:cs="Times New Roman"/>
                <w:i w:val="0"/>
                <w:color w:val="000000"/>
                <w:sz w:val="20"/>
                <w:szCs w:val="20"/>
                <w:highlight w:val="none"/>
                <w:u w:val="none"/>
                <w:lang w:eastAsia="zh-CN"/>
              </w:rPr>
            </w:pPr>
            <w:r>
              <w:rPr>
                <w:rFonts w:hint="default" w:ascii="Times New Roman" w:hAnsi="Times New Roman" w:cs="Times New Roman"/>
                <w:i w:val="0"/>
                <w:color w:val="000000"/>
                <w:sz w:val="20"/>
                <w:szCs w:val="20"/>
                <w:highlight w:val="none"/>
                <w:u w:val="none"/>
                <w:lang w:eastAsia="zh-CN"/>
              </w:rPr>
              <w:t>水利局</w:t>
            </w:r>
          </w:p>
        </w:tc>
        <w:tc>
          <w:tcPr>
            <w:tcW w:w="300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left"/>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sz w:val="20"/>
                <w:szCs w:val="20"/>
                <w:highlight w:val="none"/>
                <w:u w:val="none"/>
              </w:rPr>
              <w:t>泽普县水利数字化智慧平台建设项目</w:t>
            </w:r>
          </w:p>
        </w:tc>
        <w:tc>
          <w:tcPr>
            <w:tcW w:w="248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lang w:eastAsia="zh-CN"/>
              </w:rPr>
            </w:pPr>
            <w:r>
              <w:rPr>
                <w:rFonts w:hint="default" w:ascii="Times New Roman" w:hAnsi="Times New Roman" w:cs="Times New Roman"/>
                <w:i w:val="0"/>
                <w:color w:val="000000"/>
                <w:sz w:val="20"/>
                <w:szCs w:val="20"/>
                <w:highlight w:val="none"/>
                <w:u w:val="none"/>
                <w:lang w:eastAsia="zh-CN"/>
              </w:rPr>
              <w:t>水利</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专项债券</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0.1</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10</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653124</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default" w:ascii="Times New Roman" w:hAnsi="Times New Roman" w:cs="Times New Roman"/>
                <w:i w:val="0"/>
                <w:color w:val="000000"/>
                <w:sz w:val="20"/>
                <w:szCs w:val="20"/>
                <w:highlight w:val="none"/>
                <w:u w:val="none"/>
                <w:lang w:eastAsia="zh-CN"/>
              </w:rPr>
            </w:pPr>
            <w:r>
              <w:rPr>
                <w:rFonts w:hint="default" w:ascii="Times New Roman" w:hAnsi="Times New Roman" w:cs="Times New Roman"/>
                <w:i w:val="0"/>
                <w:color w:val="000000"/>
                <w:sz w:val="20"/>
                <w:szCs w:val="20"/>
                <w:highlight w:val="none"/>
                <w:u w:val="none"/>
                <w:lang w:eastAsia="zh-CN"/>
              </w:rPr>
              <w:t>工业园区管理委员会</w:t>
            </w:r>
          </w:p>
        </w:tc>
        <w:tc>
          <w:tcPr>
            <w:tcW w:w="300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left"/>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sz w:val="20"/>
                <w:szCs w:val="20"/>
                <w:highlight w:val="none"/>
                <w:u w:val="none"/>
              </w:rPr>
              <w:t>喀什地区泽普县公铁联运物流园建设项目</w:t>
            </w:r>
          </w:p>
        </w:tc>
        <w:tc>
          <w:tcPr>
            <w:tcW w:w="248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城乡冷链物流设施</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专项债券</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0.8</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11</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653124</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default" w:ascii="Times New Roman" w:hAnsi="Times New Roman" w:eastAsia="宋体" w:cs="Times New Roman"/>
                <w:i w:val="0"/>
                <w:color w:val="000000"/>
                <w:sz w:val="20"/>
                <w:szCs w:val="20"/>
                <w:highlight w:val="none"/>
                <w:u w:val="none"/>
                <w:lang w:eastAsia="zh-CN"/>
              </w:rPr>
            </w:pPr>
            <w:r>
              <w:rPr>
                <w:rFonts w:hint="default" w:ascii="Times New Roman" w:hAnsi="Times New Roman" w:cs="Times New Roman"/>
                <w:i w:val="0"/>
                <w:color w:val="000000"/>
                <w:sz w:val="20"/>
                <w:szCs w:val="20"/>
                <w:highlight w:val="none"/>
                <w:u w:val="none"/>
                <w:lang w:eastAsia="zh-CN"/>
              </w:rPr>
              <w:t>人民医院</w:t>
            </w:r>
          </w:p>
        </w:tc>
        <w:tc>
          <w:tcPr>
            <w:tcW w:w="300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left"/>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sz w:val="20"/>
                <w:szCs w:val="20"/>
                <w:highlight w:val="none"/>
                <w:u w:val="none"/>
              </w:rPr>
              <w:t>泽普县人民医院能力提升改造项目</w:t>
            </w:r>
          </w:p>
        </w:tc>
        <w:tc>
          <w:tcPr>
            <w:tcW w:w="248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lang w:eastAsia="zh-CN"/>
              </w:rPr>
            </w:pPr>
            <w:r>
              <w:rPr>
                <w:rFonts w:hint="default" w:ascii="Times New Roman" w:hAnsi="Times New Roman" w:cs="Times New Roman"/>
                <w:i w:val="0"/>
                <w:color w:val="000000"/>
                <w:sz w:val="20"/>
                <w:szCs w:val="20"/>
                <w:highlight w:val="none"/>
                <w:u w:val="none"/>
                <w:lang w:eastAsia="zh-CN"/>
              </w:rPr>
              <w:t>医疗卫生</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专项债券</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0.1</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0</w:t>
            </w:r>
          </w:p>
        </w:tc>
      </w:tr>
    </w:tbl>
    <w:p>
      <w:pPr>
        <w:rPr>
          <w:rFonts w:hint="default"/>
          <w:lang w:val="en-US" w:eastAsia="zh-Hans"/>
        </w:rPr>
      </w:pPr>
    </w:p>
    <w:tbl>
      <w:tblPr>
        <w:tblStyle w:val="8"/>
        <w:tblW w:w="855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641"/>
        <w:gridCol w:w="1466"/>
        <w:gridCol w:w="1365"/>
        <w:gridCol w:w="30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8558" w:type="dxa"/>
            <w:gridSpan w:val="4"/>
            <w:noWrap w:val="0"/>
            <w:vAlign w:val="center"/>
          </w:tcPr>
          <w:p>
            <w:pPr>
              <w:keepNext w:val="0"/>
              <w:keepLines w:val="0"/>
              <w:widowControl/>
              <w:suppressLineNumbers w:val="0"/>
              <w:jc w:val="left"/>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default" w:ascii="Times New Roman" w:hAnsi="Times New Roman" w:cs="Times New Roman"/>
                <w:i w:val="0"/>
                <w:color w:val="000000"/>
                <w:kern w:val="0"/>
                <w:sz w:val="20"/>
                <w:szCs w:val="20"/>
                <w:highlight w:val="none"/>
                <w:u w:val="none"/>
                <w:lang w:eastAsia="zh-CN" w:bidi="ar"/>
              </w:rPr>
              <w:t>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55" w:hRule="atLeast"/>
          <w:jc w:val="center"/>
        </w:trPr>
        <w:tc>
          <w:tcPr>
            <w:tcW w:w="8558" w:type="dxa"/>
            <w:gridSpan w:val="4"/>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2024</w:t>
            </w:r>
            <w:r>
              <w:rPr>
                <w:rFonts w:hint="default" w:ascii="Times New Roman" w:hAnsi="Times New Roman" w:cs="Times New Roman"/>
                <w:b/>
                <w:bCs/>
                <w:i w:val="0"/>
                <w:color w:val="000000"/>
                <w:kern w:val="0"/>
                <w:sz w:val="20"/>
                <w:szCs w:val="20"/>
                <w:highlight w:val="none"/>
                <w:u w:val="none"/>
                <w:lang w:eastAsia="zh-CN" w:bidi="ar"/>
              </w:rPr>
              <w:t>年度泽普县</w:t>
            </w:r>
            <w:r>
              <w:rPr>
                <w:rFonts w:hint="default" w:ascii="Times New Roman" w:hAnsi="Times New Roman" w:eastAsia="宋体" w:cs="Times New Roman"/>
                <w:b/>
                <w:i w:val="0"/>
                <w:color w:val="000000"/>
                <w:kern w:val="0"/>
                <w:sz w:val="20"/>
                <w:szCs w:val="20"/>
                <w:highlight w:val="none"/>
                <w:u w:val="none"/>
                <w:lang w:val="en-US" w:eastAsia="zh-CN" w:bidi="ar"/>
              </w:rPr>
              <w:t>还本付息预计执行及本年度还本付息预算情况表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2641" w:type="dxa"/>
            <w:noWrap w:val="0"/>
            <w:vAlign w:val="center"/>
          </w:tcPr>
          <w:p>
            <w:pPr>
              <w:rPr>
                <w:rFonts w:hint="default" w:ascii="Times New Roman" w:hAnsi="Times New Roman" w:eastAsia="宋体" w:cs="Times New Roman"/>
                <w:i w:val="0"/>
                <w:color w:val="000000"/>
                <w:sz w:val="20"/>
                <w:szCs w:val="20"/>
                <w:highlight w:val="none"/>
                <w:u w:val="none"/>
              </w:rPr>
            </w:pPr>
          </w:p>
        </w:tc>
        <w:tc>
          <w:tcPr>
            <w:tcW w:w="1466" w:type="dxa"/>
            <w:noWrap w:val="0"/>
            <w:vAlign w:val="center"/>
          </w:tcPr>
          <w:p>
            <w:pPr>
              <w:rPr>
                <w:rFonts w:hint="default" w:ascii="Times New Roman" w:hAnsi="Times New Roman" w:eastAsia="宋体" w:cs="Times New Roman"/>
                <w:i w:val="0"/>
                <w:color w:val="000000"/>
                <w:sz w:val="20"/>
                <w:szCs w:val="20"/>
                <w:highlight w:val="none"/>
                <w:u w:val="none"/>
              </w:rPr>
            </w:pPr>
          </w:p>
        </w:tc>
        <w:tc>
          <w:tcPr>
            <w:tcW w:w="1365" w:type="dxa"/>
            <w:noWrap w:val="0"/>
            <w:vAlign w:val="center"/>
          </w:tcPr>
          <w:p>
            <w:pPr>
              <w:rPr>
                <w:rFonts w:hint="default" w:ascii="Times New Roman" w:hAnsi="Times New Roman" w:eastAsia="宋体" w:cs="Times New Roman"/>
                <w:i w:val="0"/>
                <w:color w:val="000000"/>
                <w:sz w:val="20"/>
                <w:szCs w:val="20"/>
                <w:highlight w:val="none"/>
                <w:u w:val="none"/>
              </w:rPr>
            </w:pPr>
          </w:p>
        </w:tc>
        <w:tc>
          <w:tcPr>
            <w:tcW w:w="3086"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75" w:hRule="atLeast"/>
          <w:jc w:val="center"/>
        </w:trPr>
        <w:tc>
          <w:tcPr>
            <w:tcW w:w="26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    目</w:t>
            </w: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泽普县</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本级</w:t>
            </w:r>
          </w:p>
        </w:tc>
        <w:tc>
          <w:tcPr>
            <w:tcW w:w="3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各县（市、区）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26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一、上年度发行预计执行数</w:t>
            </w: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5.16</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5.16</w:t>
            </w:r>
          </w:p>
        </w:tc>
        <w:tc>
          <w:tcPr>
            <w:tcW w:w="308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26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（一）一般债券</w:t>
            </w: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0.37</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0.37</w:t>
            </w:r>
          </w:p>
        </w:tc>
        <w:tc>
          <w:tcPr>
            <w:tcW w:w="308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26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其中：再融资债券</w:t>
            </w: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0.18</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0.18</w:t>
            </w:r>
          </w:p>
        </w:tc>
        <w:tc>
          <w:tcPr>
            <w:tcW w:w="308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26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（二）专项债券</w:t>
            </w: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4.78</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4.78</w:t>
            </w:r>
          </w:p>
        </w:tc>
        <w:tc>
          <w:tcPr>
            <w:tcW w:w="308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26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其中：再融资债券</w:t>
            </w: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0.48</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0.48</w:t>
            </w:r>
          </w:p>
        </w:tc>
        <w:tc>
          <w:tcPr>
            <w:tcW w:w="308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26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二、上年度还本预计执行数</w:t>
            </w: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0.26</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0.26</w:t>
            </w:r>
          </w:p>
        </w:tc>
        <w:tc>
          <w:tcPr>
            <w:tcW w:w="308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26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（一）一般债券</w:t>
            </w: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0.26</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0.26</w:t>
            </w:r>
          </w:p>
        </w:tc>
        <w:tc>
          <w:tcPr>
            <w:tcW w:w="308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26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（二）专项债券</w:t>
            </w: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08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26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三、上年度付息预计执行数</w:t>
            </w: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0.83</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0.83</w:t>
            </w:r>
          </w:p>
        </w:tc>
        <w:tc>
          <w:tcPr>
            <w:tcW w:w="308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26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（一）一般债券</w:t>
            </w: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0.26</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0.26</w:t>
            </w:r>
          </w:p>
        </w:tc>
        <w:tc>
          <w:tcPr>
            <w:tcW w:w="308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26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（二）专项债券</w:t>
            </w: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0.57</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0.57</w:t>
            </w:r>
          </w:p>
        </w:tc>
        <w:tc>
          <w:tcPr>
            <w:tcW w:w="308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26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四、本年度还本预算数</w:t>
            </w: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0.03</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0.03</w:t>
            </w:r>
          </w:p>
        </w:tc>
        <w:tc>
          <w:tcPr>
            <w:tcW w:w="308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26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（一）一般债券</w:t>
            </w: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0.03</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0.03</w:t>
            </w:r>
          </w:p>
        </w:tc>
        <w:tc>
          <w:tcPr>
            <w:tcW w:w="308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26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其中：再融资</w:t>
            </w: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08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26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财政预算安排</w:t>
            </w: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0.03</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0.03</w:t>
            </w:r>
          </w:p>
        </w:tc>
        <w:tc>
          <w:tcPr>
            <w:tcW w:w="308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26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（二）专项债券</w:t>
            </w: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08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26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其中：再融资</w:t>
            </w: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08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26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财政预算安排</w:t>
            </w: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08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26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五、本年度付息预算数</w:t>
            </w: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0.93</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0.93</w:t>
            </w:r>
          </w:p>
        </w:tc>
        <w:tc>
          <w:tcPr>
            <w:tcW w:w="308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26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（一）一般债券</w:t>
            </w: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0.26</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0.26</w:t>
            </w:r>
          </w:p>
        </w:tc>
        <w:tc>
          <w:tcPr>
            <w:tcW w:w="308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26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（二）专项债券</w:t>
            </w: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0.67</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0.67</w:t>
            </w:r>
          </w:p>
        </w:tc>
        <w:tc>
          <w:tcPr>
            <w:tcW w:w="308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0.67</w:t>
            </w:r>
          </w:p>
        </w:tc>
      </w:tr>
    </w:tbl>
    <w:p>
      <w:pPr>
        <w:pStyle w:val="7"/>
        <w:rPr>
          <w:rFonts w:hint="default" w:ascii="Times New Roman" w:hAnsi="Times New Roman" w:eastAsia="宋体" w:cs="Times New Roman"/>
          <w:i w:val="0"/>
          <w:color w:val="000000"/>
          <w:kern w:val="0"/>
          <w:sz w:val="20"/>
          <w:szCs w:val="20"/>
          <w:highlight w:val="none"/>
          <w:u w:val="none"/>
          <w:lang w:val="en-US" w:eastAsia="zh-Hans" w:bidi="ar"/>
        </w:rPr>
      </w:pPr>
    </w:p>
    <w:tbl>
      <w:tblPr>
        <w:tblStyle w:val="8"/>
        <w:tblpPr w:leftFromText="180" w:rightFromText="180" w:vertAnchor="text" w:horzAnchor="page" w:tblpXSpec="center" w:tblpY="292"/>
        <w:tblOverlap w:val="never"/>
        <w:tblW w:w="1113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783"/>
        <w:gridCol w:w="537"/>
        <w:gridCol w:w="580"/>
        <w:gridCol w:w="2625"/>
        <w:gridCol w:w="2190"/>
        <w:gridCol w:w="1418"/>
        <w:gridCol w:w="577"/>
        <w:gridCol w:w="600"/>
        <w:gridCol w:w="630"/>
        <w:gridCol w:w="639"/>
        <w:gridCol w:w="5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jc w:val="center"/>
        </w:trPr>
        <w:tc>
          <w:tcPr>
            <w:tcW w:w="11133" w:type="dxa"/>
            <w:gridSpan w:val="11"/>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表3</w:t>
            </w:r>
            <w:r>
              <w:rPr>
                <w:rFonts w:hint="default" w:ascii="Times New Roman" w:hAnsi="Times New Roman" w:cs="Times New Roman"/>
                <w:i w:val="0"/>
                <w:color w:val="000000"/>
                <w:kern w:val="0"/>
                <w:sz w:val="20"/>
                <w:szCs w:val="20"/>
                <w:highlight w:val="none"/>
                <w:u w:val="none"/>
                <w:lang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jc w:val="center"/>
        </w:trPr>
        <w:tc>
          <w:tcPr>
            <w:tcW w:w="11133" w:type="dxa"/>
            <w:gridSpan w:val="11"/>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2025</w:t>
            </w:r>
            <w:r>
              <w:rPr>
                <w:rFonts w:hint="default" w:ascii="Times New Roman" w:hAnsi="Times New Roman" w:cs="Times New Roman"/>
                <w:b/>
                <w:i w:val="0"/>
                <w:color w:val="000000"/>
                <w:kern w:val="0"/>
                <w:sz w:val="20"/>
                <w:szCs w:val="20"/>
                <w:highlight w:val="none"/>
                <w:u w:val="none"/>
                <w:lang w:eastAsia="zh-CN" w:bidi="ar"/>
              </w:rPr>
              <w:t>年度</w:t>
            </w:r>
            <w:r>
              <w:rPr>
                <w:rFonts w:hint="default" w:ascii="Times New Roman" w:hAnsi="Times New Roman" w:cs="Times New Roman"/>
                <w:b/>
                <w:i w:val="0"/>
                <w:color w:val="000000"/>
                <w:kern w:val="0"/>
                <w:sz w:val="20"/>
                <w:szCs w:val="20"/>
                <w:highlight w:val="none"/>
                <w:u w:val="none"/>
                <w:lang w:val="en-US" w:eastAsia="zh-CN" w:bidi="ar"/>
              </w:rPr>
              <w:t>泽普县</w:t>
            </w:r>
            <w:r>
              <w:rPr>
                <w:rFonts w:hint="default" w:ascii="Times New Roman" w:hAnsi="Times New Roman" w:eastAsia="宋体" w:cs="Times New Roman"/>
                <w:b/>
                <w:i w:val="0"/>
                <w:color w:val="000000"/>
                <w:kern w:val="0"/>
                <w:sz w:val="20"/>
                <w:szCs w:val="20"/>
                <w:highlight w:val="none"/>
                <w:u w:val="none"/>
                <w:lang w:val="en-US" w:eastAsia="zh-CN" w:bidi="ar"/>
              </w:rPr>
              <w:t>政府新增债券资金使用安排情况表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783" w:type="dxa"/>
            <w:noWrap w:val="0"/>
            <w:vAlign w:val="center"/>
          </w:tcPr>
          <w:p>
            <w:pPr>
              <w:rPr>
                <w:rFonts w:hint="default" w:ascii="Times New Roman" w:hAnsi="Times New Roman" w:eastAsia="宋体" w:cs="Times New Roman"/>
                <w:i w:val="0"/>
                <w:color w:val="000000"/>
                <w:sz w:val="20"/>
                <w:szCs w:val="20"/>
                <w:highlight w:val="none"/>
                <w:u w:val="none"/>
              </w:rPr>
            </w:pPr>
          </w:p>
        </w:tc>
        <w:tc>
          <w:tcPr>
            <w:tcW w:w="537" w:type="dxa"/>
            <w:noWrap w:val="0"/>
            <w:vAlign w:val="center"/>
          </w:tcPr>
          <w:p>
            <w:pPr>
              <w:rPr>
                <w:rFonts w:hint="default" w:ascii="Times New Roman" w:hAnsi="Times New Roman" w:eastAsia="宋体" w:cs="Times New Roman"/>
                <w:i w:val="0"/>
                <w:color w:val="000000"/>
                <w:sz w:val="20"/>
                <w:szCs w:val="20"/>
                <w:highlight w:val="none"/>
                <w:u w:val="none"/>
              </w:rPr>
            </w:pPr>
          </w:p>
        </w:tc>
        <w:tc>
          <w:tcPr>
            <w:tcW w:w="58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4815" w:type="dxa"/>
            <w:gridSpan w:val="2"/>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418" w:type="dxa"/>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577" w:type="dxa"/>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60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63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639" w:type="dxa"/>
            <w:noWrap w:val="0"/>
            <w:vAlign w:val="center"/>
          </w:tcPr>
          <w:p>
            <w:pPr>
              <w:rPr>
                <w:rFonts w:hint="default" w:ascii="Times New Roman" w:hAnsi="Times New Roman" w:eastAsia="宋体" w:cs="Times New Roman"/>
                <w:i w:val="0"/>
                <w:color w:val="000000"/>
                <w:sz w:val="20"/>
                <w:szCs w:val="20"/>
                <w:highlight w:val="none"/>
                <w:u w:val="none"/>
              </w:rPr>
            </w:pPr>
          </w:p>
        </w:tc>
        <w:tc>
          <w:tcPr>
            <w:tcW w:w="554"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55" w:hRule="atLeast"/>
          <w:jc w:val="center"/>
        </w:trPr>
        <w:tc>
          <w:tcPr>
            <w:tcW w:w="78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序号</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区划</w:t>
            </w:r>
          </w:p>
        </w:tc>
        <w:tc>
          <w:tcPr>
            <w:tcW w:w="5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项目单位</w:t>
            </w:r>
          </w:p>
        </w:tc>
        <w:tc>
          <w:tcPr>
            <w:tcW w:w="26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项目名称</w:t>
            </w:r>
          </w:p>
        </w:tc>
        <w:tc>
          <w:tcPr>
            <w:tcW w:w="21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投向领域</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债券类型</w:t>
            </w:r>
          </w:p>
        </w:tc>
        <w:tc>
          <w:tcPr>
            <w:tcW w:w="5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债券金额</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偿还来源</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债券期限</w:t>
            </w:r>
          </w:p>
        </w:tc>
        <w:tc>
          <w:tcPr>
            <w:tcW w:w="6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利率</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还本付息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2" w:hRule="atLeast"/>
          <w:jc w:val="center"/>
        </w:trPr>
        <w:tc>
          <w:tcPr>
            <w:tcW w:w="783"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5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262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21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5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63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7" w:hRule="atLeast"/>
          <w:jc w:val="center"/>
        </w:trPr>
        <w:tc>
          <w:tcPr>
            <w:tcW w:w="783"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5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2625"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219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57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63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7" w:hRule="atLeast"/>
          <w:jc w:val="center"/>
        </w:trPr>
        <w:tc>
          <w:tcPr>
            <w:tcW w:w="783"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5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2625"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219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57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63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37" w:hRule="atLeast"/>
          <w:jc w:val="center"/>
        </w:trPr>
        <w:tc>
          <w:tcPr>
            <w:tcW w:w="783" w:type="dxa"/>
            <w:tcBorders>
              <w:top w:val="single" w:color="000000" w:sz="4" w:space="0"/>
              <w:left w:val="single" w:color="000000" w:sz="4" w:space="0"/>
              <w:bottom w:val="single" w:color="auto"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537" w:type="dxa"/>
            <w:tcBorders>
              <w:top w:val="single" w:color="000000" w:sz="4" w:space="0"/>
              <w:left w:val="single" w:color="000000" w:sz="4" w:space="0"/>
              <w:bottom w:val="single" w:color="auto"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580" w:type="dxa"/>
            <w:tcBorders>
              <w:top w:val="single" w:color="000000" w:sz="4" w:space="0"/>
              <w:left w:val="single" w:color="000000" w:sz="4" w:space="0"/>
              <w:bottom w:val="single" w:color="auto"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2625" w:type="dxa"/>
            <w:tcBorders>
              <w:top w:val="single" w:color="000000" w:sz="4" w:space="0"/>
              <w:left w:val="single" w:color="000000" w:sz="4" w:space="0"/>
              <w:bottom w:val="single" w:color="auto" w:sz="4" w:space="0"/>
              <w:right w:val="single" w:color="000000" w:sz="4" w:space="0"/>
            </w:tcBorders>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2190" w:type="dxa"/>
            <w:tcBorders>
              <w:top w:val="single" w:color="000000" w:sz="4" w:space="0"/>
              <w:left w:val="single" w:color="000000" w:sz="4" w:space="0"/>
              <w:bottom w:val="single" w:color="auto"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418"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577" w:type="dxa"/>
            <w:tcBorders>
              <w:top w:val="single" w:color="000000" w:sz="4" w:space="0"/>
              <w:left w:val="single" w:color="000000" w:sz="4" w:space="0"/>
              <w:bottom w:val="single" w:color="auto"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600" w:type="dxa"/>
            <w:tcBorders>
              <w:top w:val="single" w:color="000000" w:sz="4" w:space="0"/>
              <w:left w:val="single" w:color="000000" w:sz="4" w:space="0"/>
              <w:bottom w:val="single" w:color="auto"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630" w:type="dxa"/>
            <w:tcBorders>
              <w:top w:val="single" w:color="000000" w:sz="4" w:space="0"/>
              <w:left w:val="single" w:color="000000" w:sz="4" w:space="0"/>
              <w:bottom w:val="single" w:color="auto"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639" w:type="dxa"/>
            <w:tcBorders>
              <w:top w:val="single" w:color="000000" w:sz="4" w:space="0"/>
              <w:left w:val="single" w:color="000000" w:sz="4" w:space="0"/>
              <w:bottom w:val="single" w:color="auto"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554" w:type="dxa"/>
            <w:tcBorders>
              <w:top w:val="single" w:color="000000" w:sz="4" w:space="0"/>
              <w:left w:val="single" w:color="000000" w:sz="4" w:space="0"/>
              <w:bottom w:val="single" w:color="auto"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2" w:hRule="atLeast"/>
          <w:jc w:val="center"/>
        </w:trPr>
        <w:tc>
          <w:tcPr>
            <w:tcW w:w="783" w:type="dxa"/>
            <w:tcBorders>
              <w:top w:val="single" w:color="auto" w:sz="4" w:space="0"/>
              <w:left w:val="single" w:color="auto" w:sz="4" w:space="0"/>
              <w:bottom w:val="single" w:color="auto" w:sz="4" w:space="0"/>
              <w:right w:val="single" w:color="auto"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537" w:type="dxa"/>
            <w:tcBorders>
              <w:top w:val="single" w:color="auto" w:sz="4" w:space="0"/>
              <w:left w:val="single" w:color="auto" w:sz="4" w:space="0"/>
              <w:bottom w:val="single" w:color="auto" w:sz="4" w:space="0"/>
              <w:right w:val="single" w:color="auto"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580" w:type="dxa"/>
            <w:tcBorders>
              <w:top w:val="single" w:color="auto" w:sz="4" w:space="0"/>
              <w:left w:val="single" w:color="auto" w:sz="4" w:space="0"/>
              <w:bottom w:val="single" w:color="auto" w:sz="4" w:space="0"/>
              <w:right w:val="single" w:color="auto"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2625" w:type="dxa"/>
            <w:tcBorders>
              <w:top w:val="single" w:color="auto" w:sz="4" w:space="0"/>
              <w:left w:val="single" w:color="auto" w:sz="4" w:space="0"/>
              <w:bottom w:val="single" w:color="auto" w:sz="4" w:space="0"/>
              <w:right w:val="single" w:color="auto" w:sz="4" w:space="0"/>
            </w:tcBorders>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2190"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577"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639" w:type="dxa"/>
            <w:tcBorders>
              <w:top w:val="single" w:color="auto" w:sz="4" w:space="0"/>
              <w:left w:val="single" w:color="auto" w:sz="4" w:space="0"/>
              <w:bottom w:val="single" w:color="auto" w:sz="4" w:space="0"/>
              <w:right w:val="single" w:color="auto"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554" w:type="dxa"/>
            <w:tcBorders>
              <w:top w:val="single" w:color="auto" w:sz="4" w:space="0"/>
              <w:left w:val="single" w:color="auto" w:sz="4" w:space="0"/>
              <w:bottom w:val="single" w:color="auto" w:sz="4" w:space="0"/>
              <w:right w:val="single" w:color="auto"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jc w:val="center"/>
        </w:trPr>
        <w:tc>
          <w:tcPr>
            <w:tcW w:w="11133" w:type="dxa"/>
            <w:gridSpan w:val="11"/>
            <w:tcBorders>
              <w:top w:val="single" w:color="auto" w:sz="4" w:space="0"/>
              <w:bottom w:val="nil"/>
            </w:tcBorders>
            <w:noWrap w:val="0"/>
            <w:vAlign w:val="center"/>
          </w:tcPr>
          <w:p>
            <w:pPr>
              <w:pStyle w:val="2"/>
              <w:ind w:left="0" w:leftChars="0" w:firstLine="0" w:firstLineChars="0"/>
              <w:rPr>
                <w:rFonts w:hint="default"/>
                <w:lang w:val="en-US" w:eastAsia="zh-CN"/>
              </w:rPr>
            </w:pPr>
            <w:r>
              <w:rPr>
                <w:rFonts w:hint="default" w:ascii="Times New Roman" w:hAnsi="Times New Roman" w:eastAsia="宋体" w:cs="Times New Roman"/>
                <w:b/>
                <w:i w:val="0"/>
                <w:color w:val="000000"/>
                <w:kern w:val="0"/>
                <w:sz w:val="16"/>
                <w:szCs w:val="16"/>
                <w:highlight w:val="none"/>
                <w:u w:val="none"/>
                <w:lang w:val="en-US" w:eastAsia="zh-CN" w:bidi="ar"/>
              </w:rPr>
              <w:t>备注：新增债券额度由各地州市统筹分配至地州市本级、所辖县市区；各地县的新增债券项目具体安排，由当地按程序报本级人大批准，未在此表中列示。</w:t>
            </w:r>
          </w:p>
        </w:tc>
      </w:tr>
    </w:tbl>
    <w:p/>
    <w:tbl>
      <w:tblPr>
        <w:tblStyle w:val="8"/>
        <w:tblpPr w:leftFromText="180" w:rightFromText="180" w:vertAnchor="text" w:horzAnchor="page" w:tblpX="1279" w:tblpY="1493"/>
        <w:tblOverlap w:val="never"/>
        <w:tblW w:w="100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2350"/>
        <w:gridCol w:w="1607"/>
        <w:gridCol w:w="1603"/>
        <w:gridCol w:w="2212"/>
        <w:gridCol w:w="22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4" w:hRule="atLeast"/>
        </w:trPr>
        <w:tc>
          <w:tcPr>
            <w:tcW w:w="10000" w:type="dxa"/>
            <w:gridSpan w:val="5"/>
            <w:tcBorders>
              <w:top w:val="nil"/>
              <w:left w:val="nil"/>
              <w:bottom w:val="nil"/>
              <w:right w:val="nil"/>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52" w:hRule="atLeast"/>
        </w:trPr>
        <w:tc>
          <w:tcPr>
            <w:tcW w:w="10000" w:type="dxa"/>
            <w:gridSpan w:val="5"/>
            <w:tcBorders>
              <w:top w:val="nil"/>
              <w:left w:val="nil"/>
              <w:bottom w:val="nil"/>
              <w:right w:val="nil"/>
            </w:tcBorders>
            <w:noWrap w:val="0"/>
            <w:vAlign w:val="center"/>
          </w:tcPr>
          <w:p>
            <w:pPr>
              <w:keepNext w:val="0"/>
              <w:keepLines w:val="0"/>
              <w:widowControl/>
              <w:suppressLineNumbers w:val="0"/>
              <w:jc w:val="left"/>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表3</w:t>
            </w:r>
            <w:r>
              <w:rPr>
                <w:rFonts w:hint="default" w:ascii="Times New Roman" w:hAnsi="Times New Roman" w:cs="Times New Roman"/>
                <w:i w:val="0"/>
                <w:color w:val="000000"/>
                <w:kern w:val="0"/>
                <w:sz w:val="20"/>
                <w:szCs w:val="20"/>
                <w:highlight w:val="none"/>
                <w:u w:val="none"/>
                <w:lang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52" w:hRule="atLeast"/>
        </w:trPr>
        <w:tc>
          <w:tcPr>
            <w:tcW w:w="10000" w:type="dxa"/>
            <w:gridSpan w:val="5"/>
            <w:tcBorders>
              <w:top w:val="nil"/>
              <w:left w:val="nil"/>
              <w:bottom w:val="nil"/>
              <w:right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2024</w:t>
            </w:r>
            <w:r>
              <w:rPr>
                <w:rFonts w:hint="default" w:ascii="Times New Roman" w:hAnsi="Times New Roman" w:cs="Times New Roman"/>
                <w:b/>
                <w:bCs/>
                <w:i w:val="0"/>
                <w:color w:val="000000"/>
                <w:kern w:val="0"/>
                <w:sz w:val="20"/>
                <w:szCs w:val="20"/>
                <w:highlight w:val="none"/>
                <w:u w:val="none"/>
                <w:lang w:eastAsia="zh-CN" w:bidi="ar"/>
              </w:rPr>
              <w:t>年度</w:t>
            </w:r>
            <w:r>
              <w:rPr>
                <w:rFonts w:hint="default" w:ascii="Times New Roman" w:hAnsi="Times New Roman" w:cs="Times New Roman"/>
                <w:b/>
                <w:i w:val="0"/>
                <w:color w:val="000000"/>
                <w:kern w:val="0"/>
                <w:sz w:val="20"/>
                <w:szCs w:val="20"/>
                <w:highlight w:val="none"/>
                <w:u w:val="none"/>
                <w:lang w:val="en-US" w:eastAsia="zh-CN" w:bidi="ar"/>
              </w:rPr>
              <w:t>泽普县</w:t>
            </w:r>
            <w:r>
              <w:rPr>
                <w:rFonts w:hint="default" w:ascii="Times New Roman" w:hAnsi="Times New Roman" w:eastAsia="宋体" w:cs="Times New Roman"/>
                <w:b/>
                <w:i w:val="0"/>
                <w:color w:val="000000"/>
                <w:kern w:val="0"/>
                <w:sz w:val="20"/>
                <w:szCs w:val="20"/>
                <w:highlight w:val="none"/>
                <w:u w:val="none"/>
                <w:lang w:val="en-US" w:eastAsia="zh-CN" w:bidi="ar"/>
              </w:rPr>
              <w:t>本级政府专项债务表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57" w:hRule="atLeast"/>
        </w:trPr>
        <w:tc>
          <w:tcPr>
            <w:tcW w:w="2350" w:type="dxa"/>
            <w:tcBorders>
              <w:top w:val="nil"/>
              <w:left w:val="nil"/>
              <w:bottom w:val="single" w:color="auto" w:sz="4" w:space="0"/>
              <w:right w:val="nil"/>
            </w:tcBorders>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607" w:type="dxa"/>
            <w:tcBorders>
              <w:top w:val="nil"/>
              <w:left w:val="nil"/>
              <w:bottom w:val="single" w:color="auto" w:sz="4" w:space="0"/>
              <w:right w:val="nil"/>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603" w:type="dxa"/>
            <w:tcBorders>
              <w:top w:val="nil"/>
              <w:left w:val="nil"/>
              <w:bottom w:val="single" w:color="auto" w:sz="4" w:space="0"/>
              <w:right w:val="nil"/>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2212" w:type="dxa"/>
            <w:tcBorders>
              <w:top w:val="nil"/>
              <w:left w:val="nil"/>
              <w:bottom w:val="single" w:color="auto" w:sz="4" w:space="0"/>
              <w:right w:val="nil"/>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2228" w:type="dxa"/>
            <w:tcBorders>
              <w:top w:val="nil"/>
              <w:left w:val="nil"/>
              <w:bottom w:val="single" w:color="auto" w:sz="4" w:space="0"/>
              <w:right w:val="nil"/>
            </w:tcBorders>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75" w:hRule="atLeast"/>
        </w:trPr>
        <w:tc>
          <w:tcPr>
            <w:tcW w:w="2350"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地区</w:t>
            </w:r>
          </w:p>
        </w:tc>
        <w:tc>
          <w:tcPr>
            <w:tcW w:w="1607"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专项债券收入</w:t>
            </w:r>
          </w:p>
        </w:tc>
        <w:tc>
          <w:tcPr>
            <w:tcW w:w="1603"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专项债券支出</w:t>
            </w:r>
          </w:p>
        </w:tc>
        <w:tc>
          <w:tcPr>
            <w:tcW w:w="2212"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专项债券还本付息</w:t>
            </w:r>
          </w:p>
        </w:tc>
        <w:tc>
          <w:tcPr>
            <w:tcW w:w="2228"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专项收入情况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89" w:hRule="atLeast"/>
        </w:trPr>
        <w:tc>
          <w:tcPr>
            <w:tcW w:w="2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泽普县</w:t>
            </w:r>
            <w:r>
              <w:rPr>
                <w:rFonts w:hint="default" w:ascii="Times New Roman" w:hAnsi="Times New Roman" w:eastAsia="宋体" w:cs="Times New Roman"/>
                <w:i w:val="0"/>
                <w:color w:val="000000"/>
                <w:kern w:val="0"/>
                <w:sz w:val="20"/>
                <w:szCs w:val="20"/>
                <w:highlight w:val="none"/>
                <w:u w:val="none"/>
                <w:lang w:val="en-US" w:eastAsia="zh-CN" w:bidi="ar"/>
              </w:rPr>
              <w:t>本级</w:t>
            </w:r>
          </w:p>
        </w:tc>
        <w:tc>
          <w:tcPr>
            <w:tcW w:w="160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4.78</w:t>
            </w:r>
          </w:p>
        </w:tc>
        <w:tc>
          <w:tcPr>
            <w:tcW w:w="160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2.2</w:t>
            </w:r>
          </w:p>
        </w:tc>
        <w:tc>
          <w:tcPr>
            <w:tcW w:w="221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0.57</w:t>
            </w:r>
          </w:p>
        </w:tc>
        <w:tc>
          <w:tcPr>
            <w:tcW w:w="22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89" w:hRule="atLeast"/>
        </w:trPr>
        <w:tc>
          <w:tcPr>
            <w:tcW w:w="2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cs="Times New Roman"/>
                <w:i w:val="0"/>
                <w:color w:val="000000"/>
                <w:kern w:val="0"/>
                <w:sz w:val="20"/>
                <w:szCs w:val="20"/>
                <w:highlight w:val="none"/>
                <w:u w:val="none"/>
                <w:lang w:val="en-US" w:eastAsia="zh-CN" w:bidi="ar"/>
              </w:rPr>
            </w:pPr>
          </w:p>
        </w:tc>
        <w:tc>
          <w:tcPr>
            <w:tcW w:w="160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cs="Times New Roman"/>
                <w:i w:val="0"/>
                <w:color w:val="000000"/>
                <w:sz w:val="20"/>
                <w:szCs w:val="20"/>
                <w:highlight w:val="none"/>
                <w:u w:val="none"/>
                <w:lang w:val="en-US" w:eastAsia="zh-CN"/>
              </w:rPr>
            </w:pPr>
          </w:p>
        </w:tc>
        <w:tc>
          <w:tcPr>
            <w:tcW w:w="160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cs="Times New Roman"/>
                <w:i w:val="0"/>
                <w:color w:val="000000"/>
                <w:sz w:val="20"/>
                <w:szCs w:val="20"/>
                <w:highlight w:val="none"/>
                <w:u w:val="none"/>
                <w:lang w:val="en-US" w:eastAsia="zh-CN"/>
              </w:rPr>
            </w:pPr>
          </w:p>
        </w:tc>
        <w:tc>
          <w:tcPr>
            <w:tcW w:w="221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cs="Times New Roman"/>
                <w:i w:val="0"/>
                <w:color w:val="000000"/>
                <w:sz w:val="20"/>
                <w:szCs w:val="20"/>
                <w:highlight w:val="none"/>
                <w:u w:val="none"/>
                <w:lang w:val="en-US" w:eastAsia="zh-CN"/>
              </w:rPr>
            </w:pPr>
          </w:p>
        </w:tc>
        <w:tc>
          <w:tcPr>
            <w:tcW w:w="22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cs="Times New Roman"/>
                <w:i w:val="0"/>
                <w:color w:val="000000"/>
                <w:sz w:val="20"/>
                <w:szCs w:val="20"/>
                <w:highlight w:val="none"/>
                <w:u w:val="none"/>
                <w:lang w:val="en-US" w:eastAsia="zh-CN"/>
              </w:rPr>
            </w:pPr>
          </w:p>
        </w:tc>
      </w:tr>
    </w:tbl>
    <w:p>
      <w:pPr>
        <w:spacing w:before="58"/>
        <w:ind w:left="0" w:right="499" w:firstLine="0"/>
        <w:jc w:val="both"/>
        <w:rPr>
          <w:rFonts w:hint="default" w:ascii="Times New Roman" w:hAnsi="Times New Roman" w:cs="Times New Roman"/>
          <w:highlight w:val="none"/>
          <w:lang w:val="en-US" w:eastAsia="zh-Hans"/>
        </w:rPr>
      </w:pPr>
    </w:p>
    <w:p>
      <w:pPr>
        <w:spacing w:before="58"/>
        <w:ind w:left="0" w:right="499" w:firstLine="0"/>
        <w:jc w:val="both"/>
        <w:rPr>
          <w:rFonts w:hint="default" w:ascii="Times New Roman" w:hAnsi="Times New Roman" w:cs="Times New Roman"/>
          <w:highlight w:val="none"/>
          <w:lang w:val="en-US" w:eastAsia="zh-Hans"/>
        </w:rPr>
      </w:pPr>
    </w:p>
    <w:p>
      <w:pPr>
        <w:spacing w:before="58"/>
        <w:ind w:left="0" w:right="499" w:firstLine="0"/>
        <w:jc w:val="both"/>
        <w:rPr>
          <w:rFonts w:hint="default" w:ascii="Times New Roman" w:hAnsi="Times New Roman" w:cs="Times New Roman"/>
          <w:highlight w:val="none"/>
          <w:lang w:val="en-US" w:eastAsia="zh-Hans"/>
        </w:rPr>
      </w:pPr>
    </w:p>
    <w:p>
      <w:pPr>
        <w:pStyle w:val="2"/>
        <w:rPr>
          <w:rFonts w:hint="default"/>
          <w:lang w:val="en-US" w:eastAsia="zh-Hans"/>
        </w:rPr>
      </w:pPr>
    </w:p>
    <w:p>
      <w:pPr>
        <w:rPr>
          <w:rFonts w:hint="default"/>
          <w:lang w:val="en-US" w:eastAsia="zh-Hans"/>
        </w:rPr>
      </w:pPr>
    </w:p>
    <w:tbl>
      <w:tblPr>
        <w:tblStyle w:val="8"/>
        <w:tblpPr w:leftFromText="180" w:rightFromText="180" w:vertAnchor="text" w:horzAnchor="page" w:tblpXSpec="center" w:tblpY="330"/>
        <w:tblOverlap w:val="never"/>
        <w:tblW w:w="1121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10"/>
        <w:gridCol w:w="1515"/>
        <w:gridCol w:w="1560"/>
        <w:gridCol w:w="2610"/>
        <w:gridCol w:w="900"/>
        <w:gridCol w:w="962"/>
        <w:gridCol w:w="1198"/>
        <w:gridCol w:w="540"/>
        <w:gridCol w:w="495"/>
        <w:gridCol w:w="7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5" w:hRule="atLeast"/>
          <w:jc w:val="center"/>
        </w:trPr>
        <w:tc>
          <w:tcPr>
            <w:tcW w:w="11218" w:type="dxa"/>
            <w:gridSpan w:val="10"/>
            <w:noWrap w:val="0"/>
            <w:vAlign w:val="center"/>
          </w:tcPr>
          <w:p>
            <w:pPr>
              <w:keepNext w:val="0"/>
              <w:keepLines w:val="0"/>
              <w:widowControl/>
              <w:suppressLineNumbers w:val="0"/>
              <w:jc w:val="left"/>
              <w:textAlignment w:val="center"/>
              <w:rPr>
                <w:rFonts w:hint="default" w:ascii="Times New Roman" w:hAnsi="Times New Roman" w:eastAsia="宋体" w:cs="Times New Roman"/>
                <w:b/>
                <w:i w:val="0"/>
                <w:color w:val="000000"/>
                <w:kern w:val="0"/>
                <w:sz w:val="20"/>
                <w:szCs w:val="20"/>
                <w:highlight w:val="none"/>
                <w:u w:val="none"/>
                <w:lang w:val="en-US" w:eastAsia="zh-Hans" w:bidi="ar"/>
              </w:rPr>
            </w:pPr>
            <w:r>
              <w:rPr>
                <w:rFonts w:hint="default" w:ascii="Times New Roman" w:hAnsi="Times New Roman" w:eastAsia="宋体" w:cs="Times New Roman"/>
                <w:i w:val="0"/>
                <w:color w:val="000000"/>
                <w:kern w:val="0"/>
                <w:sz w:val="20"/>
                <w:szCs w:val="20"/>
                <w:highlight w:val="none"/>
                <w:u w:val="none"/>
                <w:lang w:val="en-US" w:eastAsia="zh-Hans" w:bidi="ar"/>
              </w:rPr>
              <w:t>表3</w:t>
            </w:r>
            <w:r>
              <w:rPr>
                <w:rFonts w:hint="default" w:ascii="Times New Roman" w:hAnsi="Times New Roman" w:cs="Times New Roman"/>
                <w:i w:val="0"/>
                <w:color w:val="000000"/>
                <w:kern w:val="0"/>
                <w:sz w:val="20"/>
                <w:szCs w:val="20"/>
                <w:highlight w:val="none"/>
                <w:u w:val="none"/>
                <w:lang w:eastAsia="zh-Hans"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5" w:hRule="atLeast"/>
          <w:jc w:val="center"/>
        </w:trPr>
        <w:tc>
          <w:tcPr>
            <w:tcW w:w="11218" w:type="dxa"/>
            <w:gridSpan w:val="10"/>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2024</w:t>
            </w:r>
            <w:r>
              <w:rPr>
                <w:rFonts w:hint="default" w:ascii="Times New Roman" w:hAnsi="Times New Roman" w:cs="Times New Roman"/>
                <w:b/>
                <w:bCs/>
                <w:i w:val="0"/>
                <w:color w:val="000000"/>
                <w:kern w:val="0"/>
                <w:sz w:val="20"/>
                <w:szCs w:val="20"/>
                <w:highlight w:val="none"/>
                <w:u w:val="none"/>
                <w:lang w:eastAsia="zh-CN" w:bidi="ar"/>
              </w:rPr>
              <w:t>年度泽普县</w:t>
            </w:r>
            <w:r>
              <w:rPr>
                <w:rFonts w:hint="default" w:ascii="Times New Roman" w:hAnsi="Times New Roman" w:eastAsia="宋体" w:cs="Times New Roman"/>
                <w:b/>
                <w:i w:val="0"/>
                <w:color w:val="000000"/>
                <w:kern w:val="0"/>
                <w:sz w:val="20"/>
                <w:szCs w:val="20"/>
                <w:highlight w:val="none"/>
                <w:u w:val="none"/>
                <w:lang w:val="en-US" w:eastAsia="zh-CN" w:bidi="ar"/>
              </w:rPr>
              <w:t>地本级政府专项债券项目表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710" w:type="dxa"/>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515"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56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261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90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962" w:type="dxa"/>
            <w:noWrap w:val="0"/>
            <w:vAlign w:val="center"/>
          </w:tcPr>
          <w:p>
            <w:pPr>
              <w:rPr>
                <w:rFonts w:hint="default" w:ascii="Times New Roman" w:hAnsi="Times New Roman" w:eastAsia="宋体" w:cs="Times New Roman"/>
                <w:i w:val="0"/>
                <w:color w:val="000000"/>
                <w:sz w:val="20"/>
                <w:szCs w:val="20"/>
                <w:highlight w:val="none"/>
                <w:u w:val="none"/>
              </w:rPr>
            </w:pPr>
          </w:p>
        </w:tc>
        <w:tc>
          <w:tcPr>
            <w:tcW w:w="1198" w:type="dxa"/>
            <w:noWrap w:val="0"/>
            <w:vAlign w:val="center"/>
          </w:tcPr>
          <w:p>
            <w:pPr>
              <w:rPr>
                <w:rFonts w:hint="default" w:ascii="Times New Roman" w:hAnsi="Times New Roman" w:eastAsia="宋体" w:cs="Times New Roman"/>
                <w:i w:val="0"/>
                <w:color w:val="000000"/>
                <w:sz w:val="20"/>
                <w:szCs w:val="20"/>
                <w:highlight w:val="none"/>
                <w:u w:val="none"/>
              </w:rPr>
            </w:pPr>
          </w:p>
        </w:tc>
        <w:tc>
          <w:tcPr>
            <w:tcW w:w="54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495" w:type="dxa"/>
            <w:noWrap w:val="0"/>
            <w:vAlign w:val="center"/>
          </w:tcPr>
          <w:p>
            <w:pPr>
              <w:rPr>
                <w:rFonts w:hint="default" w:ascii="Times New Roman" w:hAnsi="Times New Roman" w:eastAsia="宋体" w:cs="Times New Roman"/>
                <w:i w:val="0"/>
                <w:color w:val="000000"/>
                <w:sz w:val="20"/>
                <w:szCs w:val="20"/>
                <w:highlight w:val="none"/>
                <w:u w:val="none"/>
              </w:rPr>
            </w:pPr>
          </w:p>
        </w:tc>
        <w:tc>
          <w:tcPr>
            <w:tcW w:w="728"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10" w:hRule="atLeast"/>
          <w:jc w:val="center"/>
        </w:trPr>
        <w:tc>
          <w:tcPr>
            <w:tcW w:w="71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序号</w:t>
            </w:r>
          </w:p>
        </w:tc>
        <w:tc>
          <w:tcPr>
            <w:tcW w:w="151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主管部门</w:t>
            </w:r>
          </w:p>
        </w:tc>
        <w:tc>
          <w:tcPr>
            <w:tcW w:w="156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项目单位</w:t>
            </w:r>
          </w:p>
        </w:tc>
        <w:tc>
          <w:tcPr>
            <w:tcW w:w="261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项目名称</w:t>
            </w:r>
          </w:p>
        </w:tc>
        <w:tc>
          <w:tcPr>
            <w:tcW w:w="90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债券金额</w:t>
            </w: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债券类型</w:t>
            </w:r>
          </w:p>
        </w:tc>
        <w:tc>
          <w:tcPr>
            <w:tcW w:w="1198"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偿还来源</w:t>
            </w:r>
          </w:p>
        </w:tc>
        <w:tc>
          <w:tcPr>
            <w:tcW w:w="54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债券期限</w:t>
            </w:r>
          </w:p>
        </w:tc>
        <w:tc>
          <w:tcPr>
            <w:tcW w:w="49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利率</w:t>
            </w:r>
          </w:p>
        </w:tc>
        <w:tc>
          <w:tcPr>
            <w:tcW w:w="728"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债券存续期内还本付息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jc w:val="center"/>
        </w:trPr>
        <w:tc>
          <w:tcPr>
            <w:tcW w:w="7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i w:val="0"/>
                <w:color w:val="000000"/>
                <w:sz w:val="20"/>
                <w:szCs w:val="20"/>
                <w:highlight w:val="none"/>
                <w:u w:val="none"/>
              </w:rPr>
            </w:pPr>
            <w:r>
              <w:rPr>
                <w:rFonts w:hint="default" w:ascii="Times New Roman" w:hAnsi="Times New Roman" w:eastAsia="宋体" w:cs="Times New Roman"/>
                <w:b w:val="0"/>
                <w:bCs/>
                <w:i w:val="0"/>
                <w:color w:val="000000"/>
                <w:kern w:val="0"/>
                <w:sz w:val="20"/>
                <w:szCs w:val="20"/>
                <w:highlight w:val="none"/>
                <w:u w:val="none"/>
                <w:lang w:val="en-US" w:eastAsia="zh-CN" w:bidi="ar"/>
              </w:rPr>
              <w:t>合计</w:t>
            </w:r>
          </w:p>
        </w:tc>
        <w:tc>
          <w:tcPr>
            <w:tcW w:w="15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val="0"/>
                <w:bCs/>
                <w:i w:val="0"/>
                <w:color w:val="000000"/>
                <w:sz w:val="20"/>
                <w:szCs w:val="20"/>
                <w:highlight w:val="none"/>
                <w:u w:val="none"/>
                <w:lang w:eastAsia="zh-CN"/>
              </w:rPr>
            </w:pPr>
            <w:r>
              <w:rPr>
                <w:rFonts w:hint="default" w:ascii="Times New Roman" w:hAnsi="Times New Roman" w:cs="Times New Roman"/>
                <w:b w:val="0"/>
                <w:bCs/>
                <w:i w:val="0"/>
                <w:color w:val="000000"/>
                <w:sz w:val="20"/>
                <w:szCs w:val="20"/>
                <w:highlight w:val="none"/>
                <w:u w:val="none"/>
                <w:lang w:eastAsia="zh-CN"/>
              </w:rPr>
              <w:t>卫健委</w:t>
            </w:r>
          </w:p>
        </w:tc>
        <w:tc>
          <w:tcPr>
            <w:tcW w:w="15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val="0"/>
                <w:bCs/>
                <w:i w:val="0"/>
                <w:color w:val="000000"/>
                <w:sz w:val="20"/>
                <w:szCs w:val="20"/>
                <w:highlight w:val="none"/>
                <w:u w:val="none"/>
              </w:rPr>
            </w:pPr>
            <w:r>
              <w:rPr>
                <w:rFonts w:hint="default" w:ascii="Times New Roman" w:hAnsi="Times New Roman" w:cs="Times New Roman"/>
                <w:b w:val="0"/>
                <w:bCs/>
                <w:i w:val="0"/>
                <w:color w:val="000000"/>
                <w:sz w:val="20"/>
                <w:szCs w:val="20"/>
                <w:highlight w:val="none"/>
                <w:u w:val="none"/>
                <w:lang w:eastAsia="zh-CN"/>
              </w:rPr>
              <w:t>卫健委</w:t>
            </w:r>
          </w:p>
        </w:tc>
        <w:tc>
          <w:tcPr>
            <w:tcW w:w="26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val="0"/>
                <w:bCs/>
                <w:i w:val="0"/>
                <w:color w:val="000000"/>
                <w:sz w:val="20"/>
                <w:szCs w:val="20"/>
                <w:highlight w:val="none"/>
                <w:u w:val="none"/>
              </w:rPr>
            </w:pPr>
            <w:r>
              <w:rPr>
                <w:rFonts w:hint="default" w:ascii="Times New Roman" w:hAnsi="Times New Roman" w:eastAsia="宋体" w:cs="Times New Roman"/>
                <w:b w:val="0"/>
                <w:bCs/>
                <w:i w:val="0"/>
                <w:color w:val="000000"/>
                <w:sz w:val="20"/>
                <w:szCs w:val="20"/>
                <w:highlight w:val="none"/>
                <w:u w:val="none"/>
              </w:rPr>
              <w:t>喀什地区泽普县公共卫生应急救治能力提升项目</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r>
              <w:rPr>
                <w:rFonts w:hint="default" w:ascii="Times New Roman" w:hAnsi="Times New Roman" w:cs="Times New Roman"/>
                <w:b/>
                <w:i w:val="0"/>
                <w:color w:val="000000"/>
                <w:sz w:val="20"/>
                <w:szCs w:val="20"/>
                <w:highlight w:val="none"/>
                <w:u w:val="none"/>
                <w:lang w:val="en-US" w:eastAsia="zh-CN"/>
              </w:rPr>
              <w:t>0.2</w:t>
            </w: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val="0"/>
                <w:bCs/>
                <w:i w:val="0"/>
                <w:color w:val="000000"/>
                <w:sz w:val="20"/>
                <w:szCs w:val="20"/>
                <w:highlight w:val="none"/>
                <w:u w:val="none"/>
                <w:lang w:eastAsia="zh-CN"/>
              </w:rPr>
            </w:pPr>
            <w:r>
              <w:rPr>
                <w:rFonts w:hint="default" w:ascii="Times New Roman" w:hAnsi="Times New Roman" w:cs="Times New Roman"/>
                <w:b w:val="0"/>
                <w:bCs/>
                <w:i w:val="0"/>
                <w:color w:val="000000"/>
                <w:sz w:val="20"/>
                <w:szCs w:val="20"/>
                <w:highlight w:val="none"/>
                <w:u w:val="none"/>
                <w:lang w:eastAsia="zh-CN"/>
              </w:rPr>
              <w:t>专项债券</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val="0"/>
                <w:bCs/>
                <w:i w:val="0"/>
                <w:color w:val="000000"/>
                <w:sz w:val="20"/>
                <w:szCs w:val="20"/>
                <w:highlight w:val="none"/>
                <w:u w:val="none"/>
                <w:lang w:eastAsia="zh-CN"/>
              </w:rPr>
            </w:pPr>
            <w:r>
              <w:rPr>
                <w:rFonts w:hint="default" w:ascii="Times New Roman" w:hAnsi="Times New Roman" w:cs="Times New Roman"/>
                <w:b w:val="0"/>
                <w:bCs/>
                <w:i w:val="0"/>
                <w:color w:val="000000"/>
                <w:sz w:val="20"/>
                <w:szCs w:val="20"/>
                <w:highlight w:val="none"/>
                <w:u w:val="none"/>
                <w:lang w:eastAsia="zh-CN"/>
              </w:rPr>
              <w:t>项目对应的政府基金收入</w:t>
            </w:r>
          </w:p>
        </w:tc>
        <w:tc>
          <w:tcPr>
            <w:tcW w:w="5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r>
              <w:rPr>
                <w:rFonts w:hint="default" w:ascii="Times New Roman" w:hAnsi="Times New Roman" w:cs="Times New Roman"/>
                <w:b/>
                <w:i w:val="0"/>
                <w:color w:val="000000"/>
                <w:sz w:val="20"/>
                <w:szCs w:val="20"/>
                <w:highlight w:val="none"/>
                <w:u w:val="none"/>
                <w:lang w:val="en-US" w:eastAsia="zh-CN"/>
              </w:rPr>
              <w:t>10</w:t>
            </w:r>
          </w:p>
        </w:tc>
        <w:tc>
          <w:tcPr>
            <w:tcW w:w="4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r>
              <w:rPr>
                <w:rFonts w:hint="default" w:ascii="Times New Roman" w:hAnsi="Times New Roman" w:cs="Times New Roman"/>
                <w:b/>
                <w:i w:val="0"/>
                <w:color w:val="000000"/>
                <w:sz w:val="20"/>
                <w:szCs w:val="20"/>
                <w:highlight w:val="none"/>
                <w:u w:val="none"/>
                <w:lang w:val="en-US" w:eastAsia="zh-CN"/>
              </w:rPr>
              <w:t>2.41</w:t>
            </w:r>
          </w:p>
        </w:tc>
        <w:tc>
          <w:tcPr>
            <w:tcW w:w="7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r>
              <w:rPr>
                <w:rFonts w:hint="default" w:ascii="Times New Roman" w:hAnsi="Times New Roman" w:cs="Times New Roman"/>
                <w:b/>
                <w:i w:val="0"/>
                <w:color w:val="000000"/>
                <w:sz w:val="20"/>
                <w:szCs w:val="20"/>
                <w:highlight w:val="none"/>
                <w:u w:val="none"/>
                <w:lang w:val="en-US" w:eastAsia="zh-CN"/>
              </w:rPr>
              <w:t>0.24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jc w:val="center"/>
        </w:trPr>
        <w:tc>
          <w:tcPr>
            <w:tcW w:w="7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eastAsia" w:cs="Times New Roman"/>
                <w:i w:val="0"/>
                <w:color w:val="000000"/>
                <w:kern w:val="0"/>
                <w:sz w:val="20"/>
                <w:szCs w:val="20"/>
                <w:highlight w:val="none"/>
                <w:u w:val="none"/>
                <w:lang w:val="en-US" w:eastAsia="zh-CN" w:bidi="ar"/>
              </w:rPr>
              <w:t>1</w:t>
            </w:r>
          </w:p>
        </w:tc>
        <w:tc>
          <w:tcPr>
            <w:tcW w:w="15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b w:val="0"/>
                <w:bCs/>
                <w:i w:val="0"/>
                <w:color w:val="000000"/>
                <w:sz w:val="20"/>
                <w:szCs w:val="20"/>
                <w:highlight w:val="none"/>
                <w:u w:val="none"/>
                <w:lang w:eastAsia="zh-CN"/>
              </w:rPr>
              <w:t>卫健委</w:t>
            </w:r>
          </w:p>
        </w:tc>
        <w:tc>
          <w:tcPr>
            <w:tcW w:w="15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b w:val="0"/>
                <w:bCs/>
                <w:i w:val="0"/>
                <w:color w:val="000000"/>
                <w:sz w:val="20"/>
                <w:szCs w:val="20"/>
                <w:highlight w:val="none"/>
                <w:u w:val="none"/>
                <w:lang w:eastAsia="zh-CN"/>
              </w:rPr>
              <w:t>卫健委</w:t>
            </w:r>
          </w:p>
        </w:tc>
        <w:tc>
          <w:tcPr>
            <w:tcW w:w="26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sz w:val="20"/>
                <w:szCs w:val="20"/>
                <w:highlight w:val="none"/>
                <w:u w:val="none"/>
              </w:rPr>
              <w:t>喀什地区泽普县公共卫生应急救治能力提升项目</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0.2</w:t>
            </w: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eastAsia="zh-CN"/>
              </w:rPr>
            </w:pPr>
            <w:r>
              <w:rPr>
                <w:rFonts w:hint="default" w:ascii="Times New Roman" w:hAnsi="Times New Roman" w:cs="Times New Roman"/>
                <w:i w:val="0"/>
                <w:color w:val="000000"/>
                <w:sz w:val="20"/>
                <w:szCs w:val="20"/>
                <w:highlight w:val="none"/>
                <w:u w:val="none"/>
                <w:lang w:eastAsia="zh-CN"/>
              </w:rPr>
              <w:t>专项债券</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b w:val="0"/>
                <w:bCs/>
                <w:i w:val="0"/>
                <w:color w:val="000000"/>
                <w:sz w:val="20"/>
                <w:szCs w:val="20"/>
                <w:highlight w:val="none"/>
                <w:u w:val="none"/>
                <w:lang w:eastAsia="zh-CN"/>
              </w:rPr>
              <w:t>项目对应的政府基金收入</w:t>
            </w:r>
          </w:p>
        </w:tc>
        <w:tc>
          <w:tcPr>
            <w:tcW w:w="5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w:t>
            </w:r>
          </w:p>
        </w:tc>
        <w:tc>
          <w:tcPr>
            <w:tcW w:w="4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2.34</w:t>
            </w:r>
          </w:p>
        </w:tc>
        <w:tc>
          <w:tcPr>
            <w:tcW w:w="7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jc w:val="center"/>
        </w:trPr>
        <w:tc>
          <w:tcPr>
            <w:tcW w:w="7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eastAsia" w:cs="Times New Roman"/>
                <w:i w:val="0"/>
                <w:color w:val="000000"/>
                <w:kern w:val="0"/>
                <w:sz w:val="20"/>
                <w:szCs w:val="20"/>
                <w:highlight w:val="none"/>
                <w:u w:val="none"/>
                <w:lang w:val="en-US" w:eastAsia="zh-CN" w:bidi="ar"/>
              </w:rPr>
              <w:t>2</w:t>
            </w:r>
          </w:p>
        </w:tc>
        <w:tc>
          <w:tcPr>
            <w:tcW w:w="15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b w:val="0"/>
                <w:bCs/>
                <w:i w:val="0"/>
                <w:color w:val="000000"/>
                <w:sz w:val="20"/>
                <w:szCs w:val="20"/>
                <w:highlight w:val="none"/>
                <w:u w:val="none"/>
                <w:lang w:eastAsia="zh-CN"/>
              </w:rPr>
              <w:t>卫健委</w:t>
            </w:r>
          </w:p>
        </w:tc>
        <w:tc>
          <w:tcPr>
            <w:tcW w:w="15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b w:val="0"/>
                <w:bCs/>
                <w:i w:val="0"/>
                <w:color w:val="000000"/>
                <w:sz w:val="20"/>
                <w:szCs w:val="20"/>
                <w:highlight w:val="none"/>
                <w:u w:val="none"/>
                <w:lang w:eastAsia="zh-CN"/>
              </w:rPr>
              <w:t>卫健委</w:t>
            </w:r>
          </w:p>
        </w:tc>
        <w:tc>
          <w:tcPr>
            <w:tcW w:w="26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sz w:val="20"/>
                <w:szCs w:val="20"/>
                <w:highlight w:val="none"/>
                <w:u w:val="none"/>
              </w:rPr>
              <w:t>喀什地区泽普县公共卫生应急救治能力提升项目</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1.6</w:t>
            </w: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eastAsia="zh-CN"/>
              </w:rPr>
              <w:t>专项债券</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b w:val="0"/>
                <w:bCs/>
                <w:i w:val="0"/>
                <w:color w:val="000000"/>
                <w:sz w:val="20"/>
                <w:szCs w:val="20"/>
                <w:highlight w:val="none"/>
                <w:u w:val="none"/>
                <w:lang w:eastAsia="zh-CN"/>
              </w:rPr>
              <w:t>项目对应的政府基金收入</w:t>
            </w:r>
          </w:p>
        </w:tc>
        <w:tc>
          <w:tcPr>
            <w:tcW w:w="5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w:t>
            </w:r>
          </w:p>
        </w:tc>
        <w:tc>
          <w:tcPr>
            <w:tcW w:w="4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2.32</w:t>
            </w:r>
          </w:p>
        </w:tc>
        <w:tc>
          <w:tcPr>
            <w:tcW w:w="7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jc w:val="center"/>
        </w:trPr>
        <w:tc>
          <w:tcPr>
            <w:tcW w:w="7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3</w:t>
            </w:r>
          </w:p>
        </w:tc>
        <w:tc>
          <w:tcPr>
            <w:tcW w:w="15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sz w:val="20"/>
                <w:szCs w:val="20"/>
                <w:highlight w:val="none"/>
                <w:u w:val="none"/>
              </w:rPr>
              <w:t>农业农村局</w:t>
            </w:r>
          </w:p>
        </w:tc>
        <w:tc>
          <w:tcPr>
            <w:tcW w:w="15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sz w:val="20"/>
                <w:szCs w:val="20"/>
                <w:highlight w:val="none"/>
                <w:u w:val="none"/>
              </w:rPr>
              <w:t>农业农村局</w:t>
            </w:r>
          </w:p>
        </w:tc>
        <w:tc>
          <w:tcPr>
            <w:tcW w:w="26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sz w:val="20"/>
                <w:szCs w:val="20"/>
                <w:highlight w:val="none"/>
                <w:u w:val="none"/>
              </w:rPr>
              <w:t>莎车县现代农业（肉羊）产业园-泽普县场项目</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0.4</w:t>
            </w: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eastAsia="zh-CN"/>
              </w:rPr>
              <w:t>专项债券</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b w:val="0"/>
                <w:bCs/>
                <w:i w:val="0"/>
                <w:color w:val="000000"/>
                <w:sz w:val="20"/>
                <w:szCs w:val="20"/>
                <w:highlight w:val="none"/>
                <w:u w:val="none"/>
                <w:lang w:eastAsia="zh-CN"/>
              </w:rPr>
              <w:t>项目对应的政府基金收入</w:t>
            </w:r>
          </w:p>
        </w:tc>
        <w:tc>
          <w:tcPr>
            <w:tcW w:w="5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20</w:t>
            </w:r>
          </w:p>
        </w:tc>
        <w:tc>
          <w:tcPr>
            <w:tcW w:w="4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2.59</w:t>
            </w:r>
          </w:p>
        </w:tc>
        <w:tc>
          <w:tcPr>
            <w:tcW w:w="7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jc w:val="center"/>
        </w:trPr>
        <w:tc>
          <w:tcPr>
            <w:tcW w:w="7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4</w:t>
            </w:r>
          </w:p>
        </w:tc>
        <w:tc>
          <w:tcPr>
            <w:tcW w:w="15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sz w:val="20"/>
                <w:szCs w:val="20"/>
                <w:highlight w:val="none"/>
                <w:u w:val="none"/>
              </w:rPr>
              <w:t>住建局</w:t>
            </w:r>
          </w:p>
        </w:tc>
        <w:tc>
          <w:tcPr>
            <w:tcW w:w="15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sz w:val="20"/>
                <w:szCs w:val="20"/>
                <w:highlight w:val="none"/>
                <w:u w:val="none"/>
              </w:rPr>
              <w:t>住建局</w:t>
            </w:r>
          </w:p>
        </w:tc>
        <w:tc>
          <w:tcPr>
            <w:tcW w:w="26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sz w:val="20"/>
                <w:szCs w:val="20"/>
                <w:highlight w:val="none"/>
                <w:u w:val="none"/>
              </w:rPr>
              <w:t>喀什地区泽普县2022年棚户区改造配套附属设施建设项目</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0.2</w:t>
            </w: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eastAsia="zh-CN"/>
              </w:rPr>
              <w:t>专项债券</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b w:val="0"/>
                <w:bCs/>
                <w:i w:val="0"/>
                <w:color w:val="000000"/>
                <w:sz w:val="20"/>
                <w:szCs w:val="20"/>
                <w:highlight w:val="none"/>
                <w:u w:val="none"/>
                <w:lang w:eastAsia="zh-CN"/>
              </w:rPr>
              <w:t>项目对应的政府基金收入</w:t>
            </w:r>
          </w:p>
        </w:tc>
        <w:tc>
          <w:tcPr>
            <w:tcW w:w="5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w:t>
            </w:r>
          </w:p>
        </w:tc>
        <w:tc>
          <w:tcPr>
            <w:tcW w:w="4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2.34</w:t>
            </w:r>
          </w:p>
        </w:tc>
        <w:tc>
          <w:tcPr>
            <w:tcW w:w="7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jc w:val="center"/>
        </w:trPr>
        <w:tc>
          <w:tcPr>
            <w:tcW w:w="7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5</w:t>
            </w:r>
          </w:p>
        </w:tc>
        <w:tc>
          <w:tcPr>
            <w:tcW w:w="15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sz w:val="20"/>
                <w:szCs w:val="20"/>
                <w:highlight w:val="none"/>
                <w:u w:val="none"/>
              </w:rPr>
              <w:t>住建局</w:t>
            </w:r>
          </w:p>
        </w:tc>
        <w:tc>
          <w:tcPr>
            <w:tcW w:w="15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sz w:val="20"/>
                <w:szCs w:val="20"/>
                <w:highlight w:val="none"/>
                <w:u w:val="none"/>
              </w:rPr>
              <w:t>住建局</w:t>
            </w:r>
          </w:p>
        </w:tc>
        <w:tc>
          <w:tcPr>
            <w:tcW w:w="26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sz w:val="20"/>
                <w:szCs w:val="20"/>
                <w:highlight w:val="none"/>
                <w:u w:val="none"/>
              </w:rPr>
              <w:t>喀什地区泽普县集中供热热源改造建设项目</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0.2</w:t>
            </w: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eastAsia="zh-CN"/>
              </w:rPr>
              <w:t>专项债券</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b w:val="0"/>
                <w:bCs/>
                <w:i w:val="0"/>
                <w:color w:val="000000"/>
                <w:sz w:val="20"/>
                <w:szCs w:val="20"/>
                <w:highlight w:val="none"/>
                <w:u w:val="none"/>
                <w:lang w:eastAsia="zh-CN"/>
              </w:rPr>
              <w:t>项目对应的政府基金收入</w:t>
            </w:r>
          </w:p>
        </w:tc>
        <w:tc>
          <w:tcPr>
            <w:tcW w:w="5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w:t>
            </w:r>
          </w:p>
        </w:tc>
        <w:tc>
          <w:tcPr>
            <w:tcW w:w="4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2.32</w:t>
            </w:r>
          </w:p>
        </w:tc>
        <w:tc>
          <w:tcPr>
            <w:tcW w:w="7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jc w:val="center"/>
        </w:trPr>
        <w:tc>
          <w:tcPr>
            <w:tcW w:w="7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cs="Times New Roman"/>
                <w:i w:val="0"/>
                <w:color w:val="000000"/>
                <w:kern w:val="0"/>
                <w:sz w:val="20"/>
                <w:szCs w:val="20"/>
                <w:highlight w:val="none"/>
                <w:u w:val="none"/>
                <w:lang w:val="en-US" w:eastAsia="zh-CN" w:bidi="ar"/>
              </w:rPr>
            </w:pPr>
            <w:r>
              <w:rPr>
                <w:rFonts w:hint="eastAsia" w:cs="Times New Roman"/>
                <w:i w:val="0"/>
                <w:color w:val="000000"/>
                <w:kern w:val="0"/>
                <w:sz w:val="20"/>
                <w:szCs w:val="20"/>
                <w:highlight w:val="none"/>
                <w:u w:val="none"/>
                <w:lang w:val="en-US" w:eastAsia="zh-CN" w:bidi="ar"/>
              </w:rPr>
              <w:t>6</w:t>
            </w:r>
          </w:p>
        </w:tc>
        <w:tc>
          <w:tcPr>
            <w:tcW w:w="15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sz w:val="20"/>
                <w:szCs w:val="20"/>
                <w:highlight w:val="none"/>
                <w:u w:val="none"/>
              </w:rPr>
              <w:t>水利局</w:t>
            </w:r>
          </w:p>
        </w:tc>
        <w:tc>
          <w:tcPr>
            <w:tcW w:w="15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sz w:val="20"/>
                <w:szCs w:val="20"/>
                <w:highlight w:val="none"/>
                <w:u w:val="none"/>
              </w:rPr>
              <w:t>水利局</w:t>
            </w:r>
          </w:p>
        </w:tc>
        <w:tc>
          <w:tcPr>
            <w:tcW w:w="26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sz w:val="20"/>
                <w:szCs w:val="20"/>
                <w:highlight w:val="none"/>
                <w:u w:val="none"/>
              </w:rPr>
              <w:t>泽普县水利数字化智慧平台建设项目</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0.1</w:t>
            </w: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eastAsia="zh-CN"/>
              </w:rPr>
              <w:t>专项债券</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b w:val="0"/>
                <w:bCs/>
                <w:i w:val="0"/>
                <w:color w:val="000000"/>
                <w:sz w:val="20"/>
                <w:szCs w:val="20"/>
                <w:highlight w:val="none"/>
                <w:u w:val="none"/>
                <w:lang w:eastAsia="zh-CN"/>
              </w:rPr>
              <w:t>项目对应的政府基金收入</w:t>
            </w:r>
          </w:p>
        </w:tc>
        <w:tc>
          <w:tcPr>
            <w:tcW w:w="5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20</w:t>
            </w:r>
          </w:p>
        </w:tc>
        <w:tc>
          <w:tcPr>
            <w:tcW w:w="4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2.42</w:t>
            </w:r>
          </w:p>
        </w:tc>
        <w:tc>
          <w:tcPr>
            <w:tcW w:w="7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jc w:val="center"/>
        </w:trPr>
        <w:tc>
          <w:tcPr>
            <w:tcW w:w="7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cs="Times New Roman"/>
                <w:i w:val="0"/>
                <w:color w:val="000000"/>
                <w:kern w:val="0"/>
                <w:sz w:val="20"/>
                <w:szCs w:val="20"/>
                <w:highlight w:val="none"/>
                <w:u w:val="none"/>
                <w:lang w:val="en-US" w:eastAsia="zh-CN" w:bidi="ar"/>
              </w:rPr>
            </w:pPr>
            <w:r>
              <w:rPr>
                <w:rFonts w:hint="eastAsia" w:cs="Times New Roman"/>
                <w:i w:val="0"/>
                <w:color w:val="000000"/>
                <w:kern w:val="0"/>
                <w:sz w:val="20"/>
                <w:szCs w:val="20"/>
                <w:highlight w:val="none"/>
                <w:u w:val="none"/>
                <w:lang w:val="en-US" w:eastAsia="zh-CN" w:bidi="ar"/>
              </w:rPr>
              <w:t>7</w:t>
            </w:r>
          </w:p>
        </w:tc>
        <w:tc>
          <w:tcPr>
            <w:tcW w:w="15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sz w:val="20"/>
                <w:szCs w:val="20"/>
                <w:highlight w:val="none"/>
                <w:u w:val="none"/>
              </w:rPr>
              <w:t>工业园区管理委员会</w:t>
            </w:r>
          </w:p>
        </w:tc>
        <w:tc>
          <w:tcPr>
            <w:tcW w:w="15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sz w:val="20"/>
                <w:szCs w:val="20"/>
                <w:highlight w:val="none"/>
                <w:u w:val="none"/>
              </w:rPr>
              <w:t>工业园区管理委员会</w:t>
            </w:r>
          </w:p>
        </w:tc>
        <w:tc>
          <w:tcPr>
            <w:tcW w:w="26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sz w:val="20"/>
                <w:szCs w:val="20"/>
                <w:highlight w:val="none"/>
                <w:u w:val="none"/>
              </w:rPr>
              <w:t>喀什地区泽普县公铁联运物流园建设项目</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0.8</w:t>
            </w: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eastAsia="zh-CN"/>
              </w:rPr>
              <w:t>专项债券</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b w:val="0"/>
                <w:bCs/>
                <w:i w:val="0"/>
                <w:color w:val="000000"/>
                <w:sz w:val="20"/>
                <w:szCs w:val="20"/>
                <w:highlight w:val="none"/>
                <w:u w:val="none"/>
                <w:lang w:eastAsia="zh-CN"/>
              </w:rPr>
              <w:t>项目对应的政府基金收入</w:t>
            </w:r>
          </w:p>
        </w:tc>
        <w:tc>
          <w:tcPr>
            <w:tcW w:w="5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15</w:t>
            </w:r>
          </w:p>
        </w:tc>
        <w:tc>
          <w:tcPr>
            <w:tcW w:w="4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2.39</w:t>
            </w:r>
          </w:p>
        </w:tc>
        <w:tc>
          <w:tcPr>
            <w:tcW w:w="7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jc w:val="center"/>
        </w:trPr>
        <w:tc>
          <w:tcPr>
            <w:tcW w:w="7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cs="Times New Roman"/>
                <w:i w:val="0"/>
                <w:color w:val="000000"/>
                <w:kern w:val="0"/>
                <w:sz w:val="20"/>
                <w:szCs w:val="20"/>
                <w:highlight w:val="none"/>
                <w:u w:val="none"/>
                <w:lang w:val="en-US" w:eastAsia="zh-CN" w:bidi="ar"/>
              </w:rPr>
            </w:pPr>
            <w:r>
              <w:rPr>
                <w:rFonts w:hint="eastAsia" w:cs="Times New Roman"/>
                <w:i w:val="0"/>
                <w:color w:val="000000"/>
                <w:kern w:val="0"/>
                <w:sz w:val="20"/>
                <w:szCs w:val="20"/>
                <w:highlight w:val="none"/>
                <w:u w:val="none"/>
                <w:lang w:val="en-US" w:eastAsia="zh-CN" w:bidi="ar"/>
              </w:rPr>
              <w:t>8</w:t>
            </w:r>
          </w:p>
        </w:tc>
        <w:tc>
          <w:tcPr>
            <w:tcW w:w="15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sz w:val="20"/>
                <w:szCs w:val="20"/>
                <w:highlight w:val="none"/>
                <w:u w:val="none"/>
              </w:rPr>
              <w:t>人民医院</w:t>
            </w:r>
          </w:p>
        </w:tc>
        <w:tc>
          <w:tcPr>
            <w:tcW w:w="15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sz w:val="20"/>
                <w:szCs w:val="20"/>
                <w:highlight w:val="none"/>
                <w:u w:val="none"/>
              </w:rPr>
              <w:t>人民医院</w:t>
            </w:r>
          </w:p>
        </w:tc>
        <w:tc>
          <w:tcPr>
            <w:tcW w:w="26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sz w:val="20"/>
                <w:szCs w:val="20"/>
                <w:highlight w:val="none"/>
                <w:u w:val="none"/>
              </w:rPr>
              <w:t>泽普县人民医院能力提升改造项目</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0.1</w:t>
            </w: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eastAsia="zh-CN"/>
              </w:rPr>
              <w:t>专项债券</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b w:val="0"/>
                <w:bCs/>
                <w:i w:val="0"/>
                <w:color w:val="000000"/>
                <w:sz w:val="20"/>
                <w:szCs w:val="20"/>
                <w:highlight w:val="none"/>
                <w:u w:val="none"/>
                <w:lang w:eastAsia="zh-CN"/>
              </w:rPr>
              <w:t>项目对应的政府基金收入</w:t>
            </w:r>
          </w:p>
        </w:tc>
        <w:tc>
          <w:tcPr>
            <w:tcW w:w="5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w:t>
            </w:r>
          </w:p>
        </w:tc>
        <w:tc>
          <w:tcPr>
            <w:tcW w:w="4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2.74</w:t>
            </w:r>
          </w:p>
        </w:tc>
        <w:tc>
          <w:tcPr>
            <w:tcW w:w="7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jc w:val="center"/>
        </w:trPr>
        <w:tc>
          <w:tcPr>
            <w:tcW w:w="7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eastAsia="zh-CN" w:bidi="ar"/>
              </w:rPr>
              <w:t>...</w:t>
            </w:r>
          </w:p>
        </w:tc>
        <w:tc>
          <w:tcPr>
            <w:tcW w:w="15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26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5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40" w:hRule="atLeast"/>
          <w:jc w:val="center"/>
        </w:trPr>
        <w:tc>
          <w:tcPr>
            <w:tcW w:w="11218" w:type="dxa"/>
            <w:gridSpan w:val="10"/>
            <w:tcBorders>
              <w:top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p>
        </w:tc>
      </w:tr>
    </w:tbl>
    <w:p>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before="0" w:after="0" w:line="360" w:lineRule="auto"/>
        <w:ind w:right="0" w:rightChars="0"/>
        <w:jc w:val="left"/>
        <w:textAlignment w:val="auto"/>
        <w:outlineLvl w:val="0"/>
        <w:rPr>
          <w:rFonts w:hint="default" w:ascii="Times New Roman" w:hAnsi="Times New Roman" w:eastAsia="楷体_GB2312" w:cs="Times New Roman"/>
          <w:b/>
          <w:spacing w:val="-4"/>
          <w:sz w:val="32"/>
          <w:szCs w:val="32"/>
          <w:highlight w:val="none"/>
          <w:lang w:val="en-US" w:eastAsia="zh-CN"/>
        </w:rPr>
      </w:pP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spacing w:val="-4"/>
          <w:sz w:val="32"/>
          <w:szCs w:val="32"/>
          <w:highlight w:val="none"/>
          <w:lang w:val="en-US" w:eastAsia="zh-CN"/>
        </w:rPr>
      </w:pPr>
      <w:r>
        <w:rPr>
          <w:rFonts w:hint="default" w:ascii="Times New Roman" w:hAnsi="Times New Roman" w:eastAsia="楷体_GB2312" w:cs="Times New Roman"/>
          <w:b/>
          <w:spacing w:val="-4"/>
          <w:sz w:val="32"/>
          <w:szCs w:val="32"/>
          <w:highlight w:val="none"/>
          <w:lang w:val="en-US" w:eastAsia="zh-CN"/>
        </w:rPr>
        <w:t>一、2024年度政府债务限额总体情况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2024年度喀什地区泽普县政府债务限额总额为29.73亿元。</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（一）政府债务限额分类型情况。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1.一般债务限额总额情况。</w:t>
      </w:r>
      <w:r>
        <w:rPr>
          <w:rFonts w:hint="default" w:ascii="Times New Roman" w:hAnsi="Times New Roman" w:eastAsia="方正仿宋_GBK" w:cs="Times New Roman"/>
          <w:sz w:val="32"/>
          <w:szCs w:val="32"/>
          <w:highlight w:val="none"/>
          <w:lang w:val="en-US" w:eastAsia="zh-CN"/>
        </w:rPr>
        <w:t>2024年度喀什地区泽普县政府一般债务限额总额7.86亿元。</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2.专项债务限额总额情况。</w:t>
      </w:r>
      <w:r>
        <w:rPr>
          <w:rFonts w:hint="default" w:ascii="Times New Roman" w:hAnsi="Times New Roman" w:eastAsia="方正仿宋_GBK" w:cs="Times New Roman"/>
          <w:sz w:val="32"/>
          <w:szCs w:val="32"/>
          <w:highlight w:val="none"/>
          <w:lang w:val="en-US" w:eastAsia="zh-CN"/>
        </w:rPr>
        <w:t>2024年度喀什地区泽普县政府专项债务限额总额为21.87亿元。</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（二）新增债务限额情况。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1.新增一般债务限额情况。</w:t>
      </w:r>
      <w:r>
        <w:rPr>
          <w:rFonts w:hint="default" w:ascii="Times New Roman" w:hAnsi="Times New Roman" w:eastAsia="方正仿宋_GBK" w:cs="Times New Roman"/>
          <w:sz w:val="32"/>
          <w:szCs w:val="32"/>
          <w:highlight w:val="none"/>
          <w:lang w:val="en-US" w:eastAsia="zh-CN"/>
        </w:rPr>
        <w:t>2024年度喀什地区泽普县政府新增一般债务限额总额0.2亿元。</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2.新增专项债务限额情况。</w:t>
      </w:r>
      <w:r>
        <w:rPr>
          <w:rFonts w:hint="default" w:ascii="Times New Roman" w:hAnsi="Times New Roman" w:eastAsia="方正仿宋_GBK" w:cs="Times New Roman"/>
          <w:sz w:val="32"/>
          <w:szCs w:val="32"/>
          <w:highlight w:val="none"/>
          <w:lang w:val="en-US" w:eastAsia="zh-CN"/>
        </w:rPr>
        <w:t>2024年度喀什地区泽普县政府新增专项债务限额总额为4.78亿元。</w:t>
      </w: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spacing w:val="-4"/>
          <w:sz w:val="32"/>
          <w:szCs w:val="32"/>
          <w:highlight w:val="none"/>
          <w:lang w:val="en-US" w:eastAsia="zh-CN"/>
        </w:rPr>
      </w:pPr>
      <w:r>
        <w:rPr>
          <w:rFonts w:hint="default" w:ascii="Times New Roman" w:hAnsi="Times New Roman" w:eastAsia="楷体_GB2312" w:cs="Times New Roman"/>
          <w:b/>
          <w:spacing w:val="-4"/>
          <w:sz w:val="32"/>
          <w:szCs w:val="32"/>
          <w:highlight w:val="none"/>
          <w:lang w:val="en-US" w:eastAsia="zh-CN"/>
        </w:rPr>
        <w:t>二、2024年度政府债务余额情况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2024年度喀什地区泽普县政府债务余额决算数为29.6亿元，政府债务余额全部严格控制在限额29.73亿元内。</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（一）一般债务余额决算数。</w:t>
      </w:r>
      <w:r>
        <w:rPr>
          <w:rFonts w:hint="default" w:ascii="Times New Roman" w:hAnsi="Times New Roman" w:eastAsia="方正仿宋_GBK" w:cs="Times New Roman"/>
          <w:sz w:val="32"/>
          <w:szCs w:val="32"/>
          <w:highlight w:val="none"/>
          <w:lang w:val="en-US" w:eastAsia="zh-CN"/>
        </w:rPr>
        <w:t>2024年度喀什地区泽普县政府一般债务余额决算数为7.73亿元。</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（二）专项债务余额决算数。</w:t>
      </w:r>
      <w:r>
        <w:rPr>
          <w:rFonts w:hint="default" w:ascii="Times New Roman" w:hAnsi="Times New Roman" w:eastAsia="方正仿宋_GBK" w:cs="Times New Roman"/>
          <w:sz w:val="32"/>
          <w:szCs w:val="32"/>
          <w:highlight w:val="none"/>
          <w:lang w:val="en-US" w:eastAsia="zh-CN"/>
        </w:rPr>
        <w:t>2024年度喀什地区泽普县政府专项债务余额决算数为21.87亿元。</w:t>
      </w: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spacing w:val="-4"/>
          <w:sz w:val="32"/>
          <w:szCs w:val="32"/>
          <w:highlight w:val="none"/>
          <w:lang w:val="en-US" w:eastAsia="zh-CN"/>
        </w:rPr>
      </w:pPr>
      <w:r>
        <w:rPr>
          <w:rFonts w:hint="default" w:ascii="Times New Roman" w:hAnsi="Times New Roman" w:eastAsia="楷体_GB2312" w:cs="Times New Roman"/>
          <w:b/>
          <w:spacing w:val="-4"/>
          <w:sz w:val="32"/>
          <w:szCs w:val="32"/>
          <w:highlight w:val="none"/>
          <w:lang w:val="en-US" w:eastAsia="zh-CN"/>
        </w:rPr>
        <w:t>三、2024年度政府债券发行使用情况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2024年度喀什地区泽普县发行政府债券5.16亿元（新增债券4.98亿元、再融资债券0.18亿元）。</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（一）新增一般债券发行使用情况。</w:t>
      </w:r>
      <w:r>
        <w:rPr>
          <w:rFonts w:hint="default" w:ascii="Times New Roman" w:hAnsi="Times New Roman" w:eastAsia="方正仿宋_GBK" w:cs="Times New Roman"/>
          <w:sz w:val="32"/>
          <w:szCs w:val="32"/>
          <w:highlight w:val="none"/>
          <w:lang w:val="en-US" w:eastAsia="zh-CN"/>
        </w:rPr>
        <w:t>2024年度喀什地区泽普县发行新增一般债券0.2亿元。上述债券资金主要用于脱贫攻坚、交通基础设施等领域（详见表33）。债券期限分别是10、15年期，债券平均利率为2.2%，债券还本付息通过一般公共预算收入偿还。</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（二）新增专项债券发行使用情况。</w:t>
      </w:r>
      <w:r>
        <w:rPr>
          <w:rFonts w:hint="default" w:ascii="Times New Roman" w:hAnsi="Times New Roman" w:eastAsia="方正仿宋_GBK" w:cs="Times New Roman"/>
          <w:sz w:val="32"/>
          <w:szCs w:val="32"/>
          <w:highlight w:val="none"/>
          <w:lang w:val="en-US" w:eastAsia="zh-CN"/>
        </w:rPr>
        <w:t>2024年度喀什地区泽普县发行新增专项债券4.78亿元。上述债券资金主要用于农林水利、社会事业、城乡冷链物流基础设施、保障性安居工程等重点领域（详见表33）。债券期限分别是10.15.20年期，债券平均利率为2.41%，债券还本付息通过对应项目取得的政府性基金或专项收入等偿还。</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（三）再融资债券发行使用情况。</w:t>
      </w:r>
      <w:r>
        <w:rPr>
          <w:rFonts w:hint="default" w:ascii="Times New Roman" w:hAnsi="Times New Roman" w:eastAsia="方正仿宋_GBK" w:cs="Times New Roman"/>
          <w:sz w:val="32"/>
          <w:szCs w:val="32"/>
          <w:highlight w:val="none"/>
          <w:lang w:val="en-US" w:eastAsia="zh-CN"/>
        </w:rPr>
        <w:t>2024年度喀什地区泽普县发行再融资债券0.18亿元（再融资一般债券0.18亿元、再融资专项债券0亿元）。上述债券资金全部用于偿还到期政府债券本金，债券期限是5年期，债券平均利率为2.02%。</w:t>
      </w: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spacing w:val="-4"/>
          <w:sz w:val="32"/>
          <w:szCs w:val="32"/>
          <w:highlight w:val="none"/>
          <w:lang w:val="en-US" w:eastAsia="zh-CN"/>
        </w:rPr>
      </w:pPr>
      <w:r>
        <w:rPr>
          <w:rFonts w:hint="default" w:ascii="Times New Roman" w:hAnsi="Times New Roman" w:eastAsia="楷体_GB2312" w:cs="Times New Roman"/>
          <w:b/>
          <w:spacing w:val="-4"/>
          <w:sz w:val="32"/>
          <w:szCs w:val="32"/>
          <w:highlight w:val="none"/>
          <w:lang w:val="en-US" w:eastAsia="zh-CN"/>
        </w:rPr>
        <w:t>四、2024年度政府债券还本付息情况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2024年度喀什地区泽普县政府债券还本付息总额1.09亿元（本金0.26亿元，财政预算安排还本0.08亿元，再融资债券还本0.18亿元；财政预算安排付息0.83亿元）。</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（一）一般债券还本付息情况。</w:t>
      </w:r>
      <w:r>
        <w:rPr>
          <w:rFonts w:hint="default" w:ascii="Times New Roman" w:hAnsi="Times New Roman" w:eastAsia="方正仿宋_GBK" w:cs="Times New Roman"/>
          <w:sz w:val="32"/>
          <w:szCs w:val="32"/>
          <w:highlight w:val="none"/>
          <w:lang w:val="en-US" w:eastAsia="zh-CN"/>
        </w:rPr>
        <w:t>2024年度喀什地区泽普县政府一般债券还本付息总额0.52亿元（本金0.26亿元，财政预算安排还本0.08亿元，再融资债券还本0.18亿元；财政预算安排付息0.26亿元）。</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（二）专项债券还本付息情况。</w:t>
      </w:r>
      <w:r>
        <w:rPr>
          <w:rFonts w:hint="default" w:ascii="Times New Roman" w:hAnsi="Times New Roman" w:eastAsia="方正仿宋_GBK" w:cs="Times New Roman"/>
          <w:sz w:val="32"/>
          <w:szCs w:val="32"/>
          <w:highlight w:val="none"/>
          <w:lang w:val="en-US" w:eastAsia="zh-CN"/>
        </w:rPr>
        <w:t>2024年度喀什地区泽普县政府专项债券还本付息总额0.57亿元（本金0亿元，财政预算安排还本0亿元，再融资债券还本0亿元；财政预算安排付息0.57亿元）。</w:t>
      </w: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spacing w:val="-4"/>
          <w:sz w:val="32"/>
          <w:szCs w:val="32"/>
          <w:highlight w:val="none"/>
          <w:lang w:val="en-US" w:eastAsia="zh-CN"/>
        </w:rPr>
      </w:pPr>
      <w:r>
        <w:rPr>
          <w:rFonts w:hint="default" w:ascii="Times New Roman" w:hAnsi="Times New Roman" w:eastAsia="楷体_GB2312" w:cs="Times New Roman"/>
          <w:b/>
          <w:spacing w:val="-4"/>
          <w:sz w:val="32"/>
          <w:szCs w:val="32"/>
          <w:highlight w:val="none"/>
          <w:lang w:val="en-US" w:eastAsia="zh-CN"/>
        </w:rPr>
        <w:t>五、2025年度政府债券还本付息情况。</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2025年度喀什地区泽普县政府债券还本付息总额0.96亿元（本金0.03亿元，财政预算安排还本0.03亿元，再融资债券还本0亿元；财政预算安排付息0.93亿元）。</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（一）一般债券还本付息情况。</w:t>
      </w:r>
      <w:r>
        <w:rPr>
          <w:rFonts w:hint="default" w:ascii="Times New Roman" w:hAnsi="Times New Roman" w:eastAsia="方正仿宋_GBK" w:cs="Times New Roman"/>
          <w:sz w:val="32"/>
          <w:szCs w:val="32"/>
          <w:highlight w:val="none"/>
          <w:lang w:val="en-US" w:eastAsia="zh-CN"/>
        </w:rPr>
        <w:t>2025年度喀什地区泽普县政府一般债券还本付息总额0.29亿元（本金0.03亿元，财政预算安排还本0.03亿元，再融资债券还本0亿元；财政预算安排付息0.26亿元）。</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（二）专项债券还本付息情况。</w:t>
      </w:r>
      <w:r>
        <w:rPr>
          <w:rFonts w:hint="default" w:ascii="Times New Roman" w:hAnsi="Times New Roman" w:eastAsia="方正仿宋_GBK" w:cs="Times New Roman"/>
          <w:sz w:val="32"/>
          <w:szCs w:val="32"/>
          <w:highlight w:val="none"/>
          <w:lang w:val="en-US" w:eastAsia="zh-CN"/>
        </w:rPr>
        <w:t>2025年度喀什地区泽普县政府专项债券还本付息总额0.67亿元（本金0亿元，财政预算安排还本0亿元，再融资债券还本0亿元；财政预算安排付息0.67亿元）。</w:t>
      </w: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spacing w:val="-4"/>
          <w:sz w:val="32"/>
          <w:szCs w:val="32"/>
          <w:highlight w:val="none"/>
          <w:lang w:val="en-US" w:eastAsia="zh-CN"/>
        </w:rPr>
      </w:pPr>
      <w:r>
        <w:rPr>
          <w:rFonts w:hint="default" w:ascii="Times New Roman" w:hAnsi="Times New Roman" w:eastAsia="楷体_GB2312" w:cs="Times New Roman"/>
          <w:b/>
          <w:spacing w:val="-4"/>
          <w:sz w:val="32"/>
          <w:szCs w:val="32"/>
          <w:highlight w:val="none"/>
          <w:lang w:val="en-US" w:eastAsia="zh-CN"/>
        </w:rPr>
        <w:t>六、2024年度本级政府专项债务情况。</w:t>
      </w:r>
    </w:p>
    <w:p>
      <w:pPr>
        <w:pStyle w:val="7"/>
        <w:keepNext w:val="0"/>
        <w:keepLines w:val="0"/>
        <w:pageBreakBefore w:val="0"/>
        <w:widowControl w:val="0"/>
        <w:kinsoku/>
        <w:wordWrap/>
        <w:overflowPunct/>
        <w:topLinePunct w:val="0"/>
        <w:autoSpaceDE/>
        <w:autoSpaceDN/>
        <w:bidi w:val="0"/>
        <w:adjustRightInd/>
        <w:snapToGrid w:val="0"/>
        <w:ind w:firstLine="640" w:firstLineChars="200"/>
        <w:textAlignment w:val="auto"/>
        <w:rPr>
          <w:rFonts w:hint="default" w:ascii="Times New Roman" w:hAnsi="Times New Roman" w:eastAsia="方正仿宋_GBK" w:cs="Times New Roman"/>
          <w:kern w:val="2"/>
          <w:sz w:val="32"/>
          <w:szCs w:val="32"/>
          <w:highlight w:val="none"/>
          <w:lang w:val="en-US" w:eastAsia="zh-CN" w:bidi="ar-SA"/>
        </w:rPr>
      </w:pPr>
      <w:r>
        <w:rPr>
          <w:rFonts w:hint="default" w:ascii="Times New Roman" w:hAnsi="Times New Roman" w:eastAsia="方正仿宋_GBK" w:cs="Times New Roman"/>
          <w:kern w:val="2"/>
          <w:sz w:val="32"/>
          <w:szCs w:val="32"/>
          <w:highlight w:val="none"/>
          <w:lang w:val="en-US" w:eastAsia="zh-CN" w:bidi="ar-SA"/>
        </w:rPr>
        <w:t>2024年度喀什地区泽普县本级政府专项债券收入4.78亿元、支出2.2亿元、还本付息0.57亿元，专项债券项目对应专项收入共计0.57亿元。上述债券资金主要用于农林水利、社会事业、城乡冷链物流基础设施、市政和产业园区基础设施、保障性安居工程等重点领域有一定收益的公益性政府投资项目建设。债券期限分别是10、15、20年期，债券平均利率为2.42%，债券还本付息资金已足额列入年初财政预算，对应项目取得的政府性基金或专项收入等偿还。</w:t>
      </w:r>
    </w:p>
    <w:p>
      <w:pPr>
        <w:pStyle w:val="7"/>
        <w:rPr>
          <w:rFonts w:hint="default" w:ascii="Times New Roman" w:hAnsi="Times New Roman" w:eastAsia="方正仿宋_GBK" w:cs="Times New Roman"/>
          <w:kern w:val="2"/>
          <w:sz w:val="32"/>
          <w:szCs w:val="32"/>
          <w:highlight w:val="none"/>
          <w:lang w:val="en-US" w:eastAsia="zh-CN" w:bidi="ar-SA"/>
        </w:rPr>
      </w:pPr>
    </w:p>
    <w:p>
      <w:pPr>
        <w:pStyle w:val="7"/>
        <w:rPr>
          <w:rFonts w:hint="default" w:ascii="Times New Roman" w:hAnsi="Times New Roman" w:eastAsia="仿宋_GB2312" w:cs="Times New Roman"/>
          <w:sz w:val="32"/>
          <w:szCs w:val="32"/>
          <w:highlight w:val="none"/>
          <w:lang w:val="en-US" w:eastAsia="zh-Hans"/>
        </w:rPr>
      </w:pPr>
    </w:p>
    <w:p>
      <w:pPr>
        <w:widowControl w:val="0"/>
        <w:numPr>
          <w:ilvl w:val="0"/>
          <w:numId w:val="4"/>
        </w:numPr>
        <w:spacing w:line="600" w:lineRule="exact"/>
        <w:jc w:val="center"/>
        <w:outlineLvl w:val="9"/>
        <w:rPr>
          <w:rFonts w:hint="default" w:ascii="Times New Roman" w:hAnsi="Times New Roman" w:eastAsia="方正黑体_GBK" w:cs="Times New Roman"/>
          <w:kern w:val="0"/>
          <w:sz w:val="36"/>
          <w:szCs w:val="36"/>
          <w:highlight w:val="none"/>
          <w:lang w:val="en-US" w:eastAsia="zh-Hans"/>
        </w:rPr>
      </w:pPr>
      <w:r>
        <w:rPr>
          <w:rFonts w:hint="default" w:ascii="Times New Roman" w:hAnsi="Times New Roman" w:eastAsia="方正黑体_GBK" w:cs="Times New Roman"/>
          <w:kern w:val="0"/>
          <w:sz w:val="36"/>
          <w:szCs w:val="36"/>
          <w:highlight w:val="none"/>
          <w:lang w:val="en-US" w:eastAsia="zh-Hans"/>
        </w:rPr>
        <w:t>财政衔接推进乡村振兴补助资金公开</w:t>
      </w:r>
    </w:p>
    <w:p>
      <w:pPr>
        <w:widowControl w:val="0"/>
        <w:numPr>
          <w:ilvl w:val="0"/>
          <w:numId w:val="0"/>
        </w:numPr>
        <w:spacing w:line="600" w:lineRule="exact"/>
        <w:jc w:val="center"/>
        <w:outlineLvl w:val="9"/>
        <w:rPr>
          <w:rFonts w:hint="default" w:ascii="Times New Roman" w:hAnsi="Times New Roman" w:eastAsia="方正黑体_GBK" w:cs="Times New Roman"/>
          <w:kern w:val="0"/>
          <w:sz w:val="36"/>
          <w:szCs w:val="36"/>
          <w:highlight w:val="none"/>
          <w:lang w:val="en-US" w:eastAsia="zh-Hans"/>
        </w:rPr>
      </w:pPr>
      <w:r>
        <w:rPr>
          <w:rFonts w:hint="default" w:ascii="Times New Roman" w:hAnsi="Times New Roman" w:eastAsia="方正黑体_GBK" w:cs="Times New Roman"/>
          <w:kern w:val="0"/>
          <w:sz w:val="36"/>
          <w:szCs w:val="36"/>
          <w:highlight w:val="none"/>
          <w:lang w:val="en-US" w:eastAsia="zh-Hans"/>
        </w:rPr>
        <w:t>情况说明</w:t>
      </w:r>
    </w:p>
    <w:p>
      <w:pPr>
        <w:pStyle w:val="2"/>
        <w:rPr>
          <w:rFonts w:hint="default" w:ascii="Times New Roman" w:hAnsi="Times New Roman" w:cs="Times New Roman"/>
          <w:lang w:val="en-US" w:eastAsia="zh-Hans"/>
        </w:rPr>
      </w:pPr>
    </w:p>
    <w:p>
      <w:pPr>
        <w:keepNext w:val="0"/>
        <w:keepLines w:val="0"/>
        <w:pageBreakBefore w:val="0"/>
        <w:widowControl w:val="0"/>
        <w:numPr>
          <w:ilvl w:val="0"/>
          <w:numId w:val="5"/>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spacing w:val="-4"/>
          <w:sz w:val="32"/>
          <w:szCs w:val="32"/>
          <w:highlight w:val="none"/>
          <w:lang w:val="en-US" w:eastAsia="zh-Hans"/>
        </w:rPr>
      </w:pPr>
      <w:r>
        <w:rPr>
          <w:rFonts w:hint="default" w:ascii="Times New Roman" w:hAnsi="Times New Roman" w:eastAsia="楷体_GB2312" w:cs="Times New Roman"/>
          <w:b/>
          <w:spacing w:val="-4"/>
          <w:sz w:val="32"/>
          <w:szCs w:val="32"/>
          <w:highlight w:val="none"/>
          <w:lang w:val="en-US" w:eastAsia="zh-Hans"/>
        </w:rPr>
        <w:t>财政衔接推进乡村振兴补助资金安排分配情况。</w:t>
      </w:r>
    </w:p>
    <w:p>
      <w:pPr>
        <w:pStyle w:val="2"/>
        <w:rPr>
          <w:rFonts w:hint="default"/>
          <w:lang w:val="en-US" w:eastAsia="zh-Hans"/>
        </w:rPr>
      </w:pPr>
    </w:p>
    <w:tbl>
      <w:tblPr>
        <w:tblStyle w:val="8"/>
        <w:tblW w:w="1119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96"/>
        <w:gridCol w:w="675"/>
        <w:gridCol w:w="810"/>
        <w:gridCol w:w="795"/>
        <w:gridCol w:w="1050"/>
        <w:gridCol w:w="930"/>
        <w:gridCol w:w="915"/>
        <w:gridCol w:w="1005"/>
        <w:gridCol w:w="915"/>
        <w:gridCol w:w="630"/>
        <w:gridCol w:w="795"/>
        <w:gridCol w:w="705"/>
        <w:gridCol w:w="585"/>
        <w:gridCol w:w="7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6" w:hRule="atLeast"/>
          <w:jc w:val="center"/>
        </w:trPr>
        <w:tc>
          <w:tcPr>
            <w:tcW w:w="11195"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方正小标宋_GBK" w:cs="Times New Roman"/>
                <w:b/>
                <w:bCs/>
                <w:i w:val="0"/>
                <w:iCs w:val="0"/>
                <w:color w:val="000000"/>
                <w:sz w:val="20"/>
                <w:szCs w:val="20"/>
                <w:u w:val="none"/>
              </w:rPr>
            </w:pPr>
            <w:r>
              <w:rPr>
                <w:rFonts w:hint="default" w:ascii="Times New Roman" w:hAnsi="Times New Roman" w:eastAsia="方正小标宋_GBK" w:cs="Times New Roman"/>
                <w:b/>
                <w:bCs/>
                <w:i w:val="0"/>
                <w:iCs w:val="0"/>
                <w:color w:val="000000"/>
                <w:kern w:val="0"/>
                <w:sz w:val="20"/>
                <w:szCs w:val="20"/>
                <w:u w:val="none"/>
                <w:lang w:val="en-US" w:eastAsia="zh-CN" w:bidi="ar"/>
              </w:rPr>
              <w:t>泽普县2025年第一批巩固拓展脱贫攻坚成果同乡村振兴有效衔接项目计划表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5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黑体" w:cs="Times New Roman"/>
                <w:i w:val="0"/>
                <w:iCs w:val="0"/>
                <w:color w:val="000000"/>
                <w:sz w:val="16"/>
                <w:szCs w:val="16"/>
                <w:u w:val="none"/>
              </w:rPr>
            </w:pPr>
            <w:r>
              <w:rPr>
                <w:rFonts w:hint="default" w:ascii="Times New Roman" w:hAnsi="Times New Roman" w:eastAsia="黑体" w:cs="Times New Roman"/>
                <w:i w:val="0"/>
                <w:iCs w:val="0"/>
                <w:color w:val="000000"/>
                <w:kern w:val="0"/>
                <w:sz w:val="16"/>
                <w:szCs w:val="16"/>
                <w:u w:val="none"/>
                <w:lang w:val="en-US" w:eastAsia="zh-CN" w:bidi="ar"/>
              </w:rPr>
              <w:t>序号</w:t>
            </w:r>
          </w:p>
        </w:tc>
        <w:tc>
          <w:tcPr>
            <w:tcW w:w="6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黑体" w:cs="Times New Roman"/>
                <w:i w:val="0"/>
                <w:iCs w:val="0"/>
                <w:color w:val="000000"/>
                <w:sz w:val="16"/>
                <w:szCs w:val="16"/>
                <w:u w:val="none"/>
              </w:rPr>
            </w:pPr>
            <w:r>
              <w:rPr>
                <w:rFonts w:hint="default" w:ascii="Times New Roman" w:hAnsi="Times New Roman" w:eastAsia="黑体" w:cs="Times New Roman"/>
                <w:i w:val="0"/>
                <w:iCs w:val="0"/>
                <w:color w:val="000000"/>
                <w:kern w:val="0"/>
                <w:sz w:val="16"/>
                <w:szCs w:val="16"/>
                <w:u w:val="none"/>
                <w:lang w:val="en-US" w:eastAsia="zh-CN" w:bidi="ar"/>
              </w:rPr>
              <w:t>项目库编号</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黑体" w:cs="Times New Roman"/>
                <w:i w:val="0"/>
                <w:iCs w:val="0"/>
                <w:color w:val="000000"/>
                <w:sz w:val="16"/>
                <w:szCs w:val="16"/>
                <w:u w:val="none"/>
              </w:rPr>
            </w:pPr>
            <w:r>
              <w:rPr>
                <w:rFonts w:hint="default" w:ascii="Times New Roman" w:hAnsi="Times New Roman" w:eastAsia="黑体" w:cs="Times New Roman"/>
                <w:i w:val="0"/>
                <w:iCs w:val="0"/>
                <w:color w:val="000000"/>
                <w:kern w:val="0"/>
                <w:sz w:val="16"/>
                <w:szCs w:val="16"/>
                <w:u w:val="none"/>
                <w:lang w:val="en-US" w:eastAsia="zh-CN" w:bidi="ar"/>
              </w:rPr>
              <w:t>项目名称</w:t>
            </w:r>
          </w:p>
        </w:tc>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黑体" w:cs="Times New Roman"/>
                <w:i w:val="0"/>
                <w:iCs w:val="0"/>
                <w:color w:val="000000"/>
                <w:sz w:val="16"/>
                <w:szCs w:val="16"/>
                <w:u w:val="none"/>
              </w:rPr>
            </w:pPr>
            <w:r>
              <w:rPr>
                <w:rFonts w:hint="default" w:ascii="Times New Roman" w:hAnsi="Times New Roman" w:eastAsia="黑体" w:cs="Times New Roman"/>
                <w:i w:val="0"/>
                <w:iCs w:val="0"/>
                <w:color w:val="000000"/>
                <w:kern w:val="0"/>
                <w:sz w:val="16"/>
                <w:szCs w:val="16"/>
                <w:u w:val="none"/>
                <w:lang w:val="en-US" w:eastAsia="zh-CN" w:bidi="ar"/>
              </w:rPr>
              <w:t>项目子类型</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黑体" w:cs="Times New Roman"/>
                <w:i w:val="0"/>
                <w:iCs w:val="0"/>
                <w:color w:val="000000"/>
                <w:sz w:val="16"/>
                <w:szCs w:val="16"/>
                <w:u w:val="none"/>
              </w:rPr>
            </w:pPr>
            <w:r>
              <w:rPr>
                <w:rFonts w:hint="default" w:ascii="Times New Roman" w:hAnsi="Times New Roman" w:eastAsia="黑体" w:cs="Times New Roman"/>
                <w:i w:val="0"/>
                <w:iCs w:val="0"/>
                <w:color w:val="000000"/>
                <w:kern w:val="0"/>
                <w:sz w:val="16"/>
                <w:szCs w:val="16"/>
                <w:u w:val="none"/>
                <w:lang w:val="en-US" w:eastAsia="zh-CN" w:bidi="ar"/>
              </w:rPr>
              <w:t>建设地点</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黑体" w:cs="Times New Roman"/>
                <w:i w:val="0"/>
                <w:iCs w:val="0"/>
                <w:color w:val="000000"/>
                <w:sz w:val="16"/>
                <w:szCs w:val="16"/>
                <w:u w:val="none"/>
              </w:rPr>
            </w:pPr>
            <w:r>
              <w:rPr>
                <w:rFonts w:hint="default" w:ascii="Times New Roman" w:hAnsi="Times New Roman" w:eastAsia="黑体" w:cs="Times New Roman"/>
                <w:i w:val="0"/>
                <w:iCs w:val="0"/>
                <w:color w:val="000000"/>
                <w:kern w:val="0"/>
                <w:sz w:val="16"/>
                <w:szCs w:val="16"/>
                <w:u w:val="none"/>
                <w:lang w:val="en-US" w:eastAsia="zh-CN" w:bidi="ar"/>
              </w:rPr>
              <w:t>投资（万元）</w:t>
            </w:r>
          </w:p>
        </w:tc>
        <w:tc>
          <w:tcPr>
            <w:tcW w:w="555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黑体" w:cs="Times New Roman"/>
                <w:i w:val="0"/>
                <w:iCs w:val="0"/>
                <w:color w:val="000000"/>
                <w:sz w:val="16"/>
                <w:szCs w:val="16"/>
                <w:u w:val="none"/>
              </w:rPr>
            </w:pPr>
            <w:r>
              <w:rPr>
                <w:rFonts w:hint="default" w:ascii="Times New Roman" w:hAnsi="Times New Roman" w:eastAsia="黑体" w:cs="Times New Roman"/>
                <w:i w:val="0"/>
                <w:iCs w:val="0"/>
                <w:color w:val="000000"/>
                <w:kern w:val="0"/>
                <w:sz w:val="16"/>
                <w:szCs w:val="16"/>
                <w:u w:val="none"/>
                <w:lang w:val="en-US" w:eastAsia="zh-CN" w:bidi="ar"/>
              </w:rPr>
              <w:t>资金来源（万元）</w:t>
            </w:r>
          </w:p>
        </w:tc>
        <w:tc>
          <w:tcPr>
            <w:tcW w:w="7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黑体" w:cs="Times New Roman"/>
                <w:i w:val="0"/>
                <w:iCs w:val="0"/>
                <w:color w:val="000000"/>
                <w:sz w:val="16"/>
                <w:szCs w:val="16"/>
                <w:u w:val="none"/>
              </w:rPr>
            </w:pPr>
            <w:r>
              <w:rPr>
                <w:rFonts w:hint="default" w:ascii="Times New Roman" w:hAnsi="Times New Roman" w:eastAsia="黑体" w:cs="Times New Roman"/>
                <w:i w:val="0"/>
                <w:iCs w:val="0"/>
                <w:color w:val="000000"/>
                <w:kern w:val="0"/>
                <w:sz w:val="16"/>
                <w:szCs w:val="16"/>
                <w:u w:val="none"/>
                <w:lang w:val="en-US" w:eastAsia="zh-CN" w:bidi="ar"/>
              </w:rPr>
              <w:t>责任单位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黑体" w:cs="Times New Roman"/>
                <w:i w:val="0"/>
                <w:iCs w:val="0"/>
                <w:color w:val="000000"/>
                <w:sz w:val="16"/>
                <w:szCs w:val="16"/>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黑体" w:cs="Times New Roman"/>
                <w:i w:val="0"/>
                <w:iCs w:val="0"/>
                <w:color w:val="000000"/>
                <w:sz w:val="16"/>
                <w:szCs w:val="16"/>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黑体" w:cs="Times New Roman"/>
                <w:i w:val="0"/>
                <w:iCs w:val="0"/>
                <w:color w:val="000000"/>
                <w:sz w:val="16"/>
                <w:szCs w:val="16"/>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黑体" w:cs="Times New Roman"/>
                <w:i w:val="0"/>
                <w:iCs w:val="0"/>
                <w:color w:val="000000"/>
                <w:sz w:val="16"/>
                <w:szCs w:val="16"/>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黑体" w:cs="Times New Roman"/>
                <w:i w:val="0"/>
                <w:iCs w:val="0"/>
                <w:color w:val="000000"/>
                <w:sz w:val="16"/>
                <w:szCs w:val="16"/>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黑体" w:cs="Times New Roman"/>
                <w:i w:val="0"/>
                <w:iCs w:val="0"/>
                <w:color w:val="000000"/>
                <w:sz w:val="16"/>
                <w:szCs w:val="16"/>
                <w:u w:val="none"/>
              </w:rPr>
            </w:pPr>
          </w:p>
        </w:tc>
        <w:tc>
          <w:tcPr>
            <w:tcW w:w="49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黑体" w:cs="Times New Roman"/>
                <w:i w:val="0"/>
                <w:iCs w:val="0"/>
                <w:color w:val="000000"/>
                <w:sz w:val="16"/>
                <w:szCs w:val="16"/>
                <w:u w:val="none"/>
              </w:rPr>
            </w:pPr>
            <w:r>
              <w:rPr>
                <w:rFonts w:hint="default" w:ascii="Times New Roman" w:hAnsi="Times New Roman" w:eastAsia="黑体" w:cs="Times New Roman"/>
                <w:i w:val="0"/>
                <w:iCs w:val="0"/>
                <w:color w:val="000000"/>
                <w:kern w:val="0"/>
                <w:sz w:val="16"/>
                <w:szCs w:val="16"/>
                <w:u w:val="none"/>
                <w:lang w:val="en-US" w:eastAsia="zh-CN" w:bidi="ar"/>
              </w:rPr>
              <w:t>衔接资金</w:t>
            </w:r>
          </w:p>
        </w:tc>
        <w:tc>
          <w:tcPr>
            <w:tcW w:w="5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黑体" w:cs="Times New Roman"/>
                <w:i w:val="0"/>
                <w:iCs w:val="0"/>
                <w:color w:val="000000"/>
                <w:sz w:val="16"/>
                <w:szCs w:val="16"/>
                <w:u w:val="none"/>
              </w:rPr>
            </w:pPr>
            <w:r>
              <w:rPr>
                <w:rFonts w:hint="default" w:ascii="Times New Roman" w:hAnsi="Times New Roman" w:eastAsia="黑体" w:cs="Times New Roman"/>
                <w:i w:val="0"/>
                <w:iCs w:val="0"/>
                <w:color w:val="000000"/>
                <w:kern w:val="0"/>
                <w:sz w:val="16"/>
                <w:szCs w:val="16"/>
                <w:u w:val="none"/>
                <w:lang w:val="en-US" w:eastAsia="zh-CN" w:bidi="ar"/>
              </w:rPr>
              <w:t>地县资金</w:t>
            </w:r>
          </w:p>
        </w:tc>
        <w:tc>
          <w:tcPr>
            <w:tcW w:w="7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黑体" w:cs="Times New Roman"/>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黑体" w:cs="Times New Roman"/>
                <w:i w:val="0"/>
                <w:iCs w:val="0"/>
                <w:color w:val="000000"/>
                <w:sz w:val="16"/>
                <w:szCs w:val="16"/>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黑体" w:cs="Times New Roman"/>
                <w:i w:val="0"/>
                <w:iCs w:val="0"/>
                <w:color w:val="000000"/>
                <w:sz w:val="16"/>
                <w:szCs w:val="16"/>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黑体" w:cs="Times New Roman"/>
                <w:i w:val="0"/>
                <w:iCs w:val="0"/>
                <w:color w:val="000000"/>
                <w:sz w:val="16"/>
                <w:szCs w:val="16"/>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黑体" w:cs="Times New Roman"/>
                <w:i w:val="0"/>
                <w:iCs w:val="0"/>
                <w:color w:val="000000"/>
                <w:sz w:val="16"/>
                <w:szCs w:val="16"/>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黑体" w:cs="Times New Roman"/>
                <w:i w:val="0"/>
                <w:iCs w:val="0"/>
                <w:color w:val="000000"/>
                <w:sz w:val="16"/>
                <w:szCs w:val="16"/>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黑体" w:cs="Times New Roman"/>
                <w:i w:val="0"/>
                <w:iCs w:val="0"/>
                <w:color w:val="000000"/>
                <w:sz w:val="16"/>
                <w:szCs w:val="16"/>
                <w:u w:val="none"/>
              </w:rPr>
            </w:pPr>
          </w:p>
        </w:tc>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黑体" w:cs="Times New Roman"/>
                <w:i w:val="0"/>
                <w:iCs w:val="0"/>
                <w:color w:val="000000"/>
                <w:sz w:val="16"/>
                <w:szCs w:val="16"/>
                <w:u w:val="none"/>
              </w:rPr>
            </w:pPr>
            <w:r>
              <w:rPr>
                <w:rFonts w:hint="default" w:ascii="Times New Roman" w:hAnsi="Times New Roman" w:eastAsia="黑体" w:cs="Times New Roman"/>
                <w:i w:val="0"/>
                <w:iCs w:val="0"/>
                <w:color w:val="000000"/>
                <w:kern w:val="0"/>
                <w:sz w:val="16"/>
                <w:szCs w:val="16"/>
                <w:u w:val="none"/>
                <w:lang w:val="en-US" w:eastAsia="zh-CN" w:bidi="ar"/>
              </w:rPr>
              <w:t>小计</w:t>
            </w: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黑体" w:cs="Times New Roman"/>
                <w:i w:val="0"/>
                <w:iCs w:val="0"/>
                <w:color w:val="000000"/>
                <w:sz w:val="16"/>
                <w:szCs w:val="16"/>
                <w:u w:val="none"/>
              </w:rPr>
            </w:pPr>
            <w:r>
              <w:rPr>
                <w:rFonts w:hint="default" w:ascii="Times New Roman" w:hAnsi="Times New Roman" w:eastAsia="黑体" w:cs="Times New Roman"/>
                <w:i w:val="0"/>
                <w:iCs w:val="0"/>
                <w:color w:val="000000"/>
                <w:kern w:val="0"/>
                <w:sz w:val="16"/>
                <w:szCs w:val="16"/>
                <w:u w:val="none"/>
                <w:lang w:val="en-US" w:eastAsia="zh-CN" w:bidi="ar"/>
              </w:rPr>
              <w:t>巩固拓展和乡村振兴</w:t>
            </w:r>
          </w:p>
        </w:tc>
        <w:tc>
          <w:tcPr>
            <w:tcW w:w="6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黑体" w:cs="Times New Roman"/>
                <w:i w:val="0"/>
                <w:iCs w:val="0"/>
                <w:color w:val="000000"/>
                <w:sz w:val="16"/>
                <w:szCs w:val="16"/>
                <w:u w:val="none"/>
              </w:rPr>
            </w:pPr>
            <w:r>
              <w:rPr>
                <w:rFonts w:hint="default" w:ascii="Times New Roman" w:hAnsi="Times New Roman" w:eastAsia="黑体" w:cs="Times New Roman"/>
                <w:i w:val="0"/>
                <w:iCs w:val="0"/>
                <w:color w:val="000000"/>
                <w:kern w:val="0"/>
                <w:sz w:val="16"/>
                <w:szCs w:val="16"/>
                <w:u w:val="none"/>
                <w:lang w:val="en-US" w:eastAsia="zh-CN" w:bidi="ar"/>
              </w:rPr>
              <w:t>以工代赈</w:t>
            </w:r>
          </w:p>
        </w:tc>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黑体" w:cs="Times New Roman"/>
                <w:i w:val="0"/>
                <w:iCs w:val="0"/>
                <w:color w:val="000000"/>
                <w:sz w:val="16"/>
                <w:szCs w:val="16"/>
                <w:u w:val="none"/>
              </w:rPr>
            </w:pPr>
            <w:r>
              <w:rPr>
                <w:rFonts w:hint="default" w:ascii="Times New Roman" w:hAnsi="Times New Roman" w:eastAsia="黑体" w:cs="Times New Roman"/>
                <w:i w:val="0"/>
                <w:iCs w:val="0"/>
                <w:color w:val="000000"/>
                <w:kern w:val="0"/>
                <w:sz w:val="16"/>
                <w:szCs w:val="16"/>
                <w:u w:val="none"/>
                <w:lang w:val="en-US" w:eastAsia="zh-CN" w:bidi="ar"/>
              </w:rPr>
              <w:t>少数民族发展</w:t>
            </w:r>
          </w:p>
        </w:tc>
        <w:tc>
          <w:tcPr>
            <w:tcW w:w="7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黑体" w:cs="Times New Roman"/>
                <w:i w:val="0"/>
                <w:iCs w:val="0"/>
                <w:color w:val="000000"/>
                <w:sz w:val="16"/>
                <w:szCs w:val="16"/>
                <w:u w:val="none"/>
              </w:rPr>
            </w:pPr>
            <w:r>
              <w:rPr>
                <w:rFonts w:hint="default" w:ascii="Times New Roman" w:hAnsi="Times New Roman" w:eastAsia="黑体" w:cs="Times New Roman"/>
                <w:i w:val="0"/>
                <w:iCs w:val="0"/>
                <w:color w:val="000000"/>
                <w:kern w:val="0"/>
                <w:sz w:val="16"/>
                <w:szCs w:val="16"/>
                <w:u w:val="none"/>
                <w:lang w:val="en-US" w:eastAsia="zh-CN" w:bidi="ar"/>
              </w:rPr>
              <w:t>欠发达国有农场</w:t>
            </w:r>
          </w:p>
        </w:tc>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黑体" w:cs="Times New Roman"/>
                <w:i w:val="0"/>
                <w:iCs w:val="0"/>
                <w:color w:val="000000"/>
                <w:sz w:val="16"/>
                <w:szCs w:val="16"/>
                <w:u w:val="none"/>
              </w:rPr>
            </w:pPr>
          </w:p>
        </w:tc>
        <w:tc>
          <w:tcPr>
            <w:tcW w:w="7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黑体" w:cs="Times New Roman"/>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atLeast"/>
          <w:jc w:val="center"/>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黑体" w:cs="Times New Roman"/>
                <w:i w:val="0"/>
                <w:iCs w:val="0"/>
                <w:color w:val="000000"/>
                <w:sz w:val="16"/>
                <w:szCs w:val="16"/>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黑体" w:cs="Times New Roman"/>
                <w:i w:val="0"/>
                <w:iCs w:val="0"/>
                <w:color w:val="000000"/>
                <w:sz w:val="16"/>
                <w:szCs w:val="16"/>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黑体" w:cs="Times New Roman"/>
                <w:i w:val="0"/>
                <w:iCs w:val="0"/>
                <w:color w:val="000000"/>
                <w:sz w:val="16"/>
                <w:szCs w:val="16"/>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黑体" w:cs="Times New Roman"/>
                <w:i w:val="0"/>
                <w:iCs w:val="0"/>
                <w:color w:val="000000"/>
                <w:sz w:val="16"/>
                <w:szCs w:val="16"/>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黑体" w:cs="Times New Roman"/>
                <w:i w:val="0"/>
                <w:iCs w:val="0"/>
                <w:color w:val="000000"/>
                <w:sz w:val="16"/>
                <w:szCs w:val="16"/>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黑体" w:cs="Times New Roman"/>
                <w:i w:val="0"/>
                <w:iCs w:val="0"/>
                <w:color w:val="000000"/>
                <w:sz w:val="16"/>
                <w:szCs w:val="16"/>
                <w:u w:val="none"/>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黑体" w:cs="Times New Roman"/>
                <w:i w:val="0"/>
                <w:iCs w:val="0"/>
                <w:color w:val="000000"/>
                <w:sz w:val="16"/>
                <w:szCs w:val="16"/>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黑体" w:cs="Times New Roman"/>
                <w:i w:val="0"/>
                <w:iCs w:val="0"/>
                <w:color w:val="000000"/>
                <w:sz w:val="16"/>
                <w:szCs w:val="16"/>
                <w:u w:val="none"/>
              </w:rPr>
            </w:pPr>
            <w:r>
              <w:rPr>
                <w:rFonts w:hint="default" w:ascii="Times New Roman" w:hAnsi="Times New Roman" w:eastAsia="黑体" w:cs="Times New Roman"/>
                <w:i w:val="0"/>
                <w:iCs w:val="0"/>
                <w:color w:val="000000"/>
                <w:kern w:val="0"/>
                <w:sz w:val="16"/>
                <w:szCs w:val="16"/>
                <w:u w:val="none"/>
                <w:lang w:val="en-US" w:eastAsia="zh-CN" w:bidi="ar"/>
              </w:rPr>
              <w:t>中央</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黑体" w:cs="Times New Roman"/>
                <w:i w:val="0"/>
                <w:iCs w:val="0"/>
                <w:color w:val="000000"/>
                <w:sz w:val="16"/>
                <w:szCs w:val="16"/>
                <w:u w:val="none"/>
              </w:rPr>
            </w:pPr>
            <w:r>
              <w:rPr>
                <w:rFonts w:hint="default" w:ascii="Times New Roman" w:hAnsi="Times New Roman" w:eastAsia="黑体" w:cs="Times New Roman"/>
                <w:i w:val="0"/>
                <w:iCs w:val="0"/>
                <w:color w:val="000000"/>
                <w:kern w:val="0"/>
                <w:sz w:val="16"/>
                <w:szCs w:val="16"/>
                <w:u w:val="none"/>
                <w:lang w:val="en-US" w:eastAsia="zh-CN" w:bidi="ar"/>
              </w:rPr>
              <w:t>自治区</w:t>
            </w:r>
          </w:p>
        </w:tc>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黑体" w:cs="Times New Roman"/>
                <w:i w:val="0"/>
                <w:iCs w:val="0"/>
                <w:color w:val="000000"/>
                <w:sz w:val="16"/>
                <w:szCs w:val="16"/>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黑体" w:cs="Times New Roman"/>
                <w:i w:val="0"/>
                <w:iCs w:val="0"/>
                <w:color w:val="000000"/>
                <w:sz w:val="16"/>
                <w:szCs w:val="16"/>
                <w:u w:val="none"/>
              </w:rPr>
            </w:pPr>
          </w:p>
        </w:tc>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黑体" w:cs="Times New Roman"/>
                <w:i w:val="0"/>
                <w:iCs w:val="0"/>
                <w:color w:val="000000"/>
                <w:sz w:val="16"/>
                <w:szCs w:val="16"/>
                <w:u w:val="none"/>
              </w:rPr>
            </w:pPr>
          </w:p>
        </w:tc>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黑体" w:cs="Times New Roman"/>
                <w:i w:val="0"/>
                <w:iCs w:val="0"/>
                <w:color w:val="000000"/>
                <w:sz w:val="16"/>
                <w:szCs w:val="16"/>
                <w:u w:val="none"/>
              </w:rPr>
            </w:pPr>
          </w:p>
        </w:tc>
        <w:tc>
          <w:tcPr>
            <w:tcW w:w="7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黑体" w:cs="Times New Roman"/>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39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泽普县合计（项目32个）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22633</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22528</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16476</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3573</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1266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1110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103</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105</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2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一、产业发展（项目25个）</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6"/>
                <w:szCs w:val="16"/>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6"/>
                <w:szCs w:val="16"/>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21058.65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20991.65</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15548.85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3285.3</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966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1088.5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103</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67</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zp001</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农场温室大棚建设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种植业基地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农场</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103</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103</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103</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5"/>
                <w:szCs w:val="15"/>
                <w:u w:val="none"/>
                <w:lang w:val="en-US" w:eastAsia="zh-CN" w:bidi="ar"/>
              </w:rPr>
              <w:t>泽普县金凤泽普农场有限责任公司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zp007</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水稻基地改造</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种植业基地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依玛乡16村、17村</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150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150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150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泽普县依玛乡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zp008</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辣椒农机设备购置</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种植业基地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依克苏乡</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140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140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140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泽普县依克苏乡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zp010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畜牧业到户产业奖补</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养殖业基地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泽普县137个行政村及良种场</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720.85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720.85</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720.85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泽普县农业农村局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zp012</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特色现代富民产业园建设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林草基地建设</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奎依巴格镇3村</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7500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7433</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7433</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67</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泽普县农业农村局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zp013</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矮化密植园建设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林草基地建设</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阿依库勒乡</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4000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4000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4000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泽普县供销社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7</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zp014</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3"/>
                <w:szCs w:val="13"/>
                <w:u w:val="none"/>
                <w:lang w:val="en-US" w:eastAsia="zh-CN" w:bidi="ar"/>
              </w:rPr>
              <w:t>半矮化密植园建设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林草基地建设</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依克苏乡、奎依巴格乡</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1000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泽普县农业农村局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8</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zp015</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赛力乡依玛（9）村半矮化密植园建设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林草基地建设</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赛力乡9村</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360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360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360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泽普县赛力乡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9</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zp016</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现代种子产业园仓储建设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产地初加工和精深加工</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波斯喀木乡9村</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395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395</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395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泽普县农业农村局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zp017</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依玛乡核桃加工厂建设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产地初加工和精深加工</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依玛乡2村</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300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泽普县依玛乡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11</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zp018</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古勒巴格乡中药材初加工设备购置</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产地初加工和精深加工</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古勒巴格乡9村</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260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260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260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泽普县古勒巴格乡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zp019</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赛力乡核桃加工设备购置</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产地初加工和精深加工</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赛力乡2村</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200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泽普县赛力乡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13</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zp020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赛力乡农产品加工车间提升改造</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产地初加工和精深加工</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赛力乡11村</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300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泽普县赛力乡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zp021</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赛力乡净化车间建设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产地初加工和精深加工</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赛力乡13村</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220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220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220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泽普县赛力乡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8"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15</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zp022</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依克苏乡核桃加工厂建设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产地初加工和精深加工</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依克苏乡14村</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390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390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390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泽普县依克苏乡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6"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zp023</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5"/>
                <w:szCs w:val="15"/>
                <w:u w:val="none"/>
                <w:lang w:val="en-US" w:eastAsia="zh-CN" w:bidi="ar"/>
              </w:rPr>
              <w:t>图呼其乡红枣加工设备购置</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产地初加工和精深加工</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图呼其乡3村</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泽普县图呼其乡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17</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zp024</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奎依巴格乡无尘车间建设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产地初加工和精深加工</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奎依巴格乡3村</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250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250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250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泽普县奎依巴格乡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18</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zp025</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阿依库勒乡阿依丁库勒村净化车间建设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产地初加工和精深加工</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阿依库勒乡14村</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280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280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3"/>
                <w:szCs w:val="13"/>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280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3"/>
                <w:szCs w:val="13"/>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3"/>
                <w:szCs w:val="13"/>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3"/>
                <w:szCs w:val="13"/>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3"/>
                <w:szCs w:val="13"/>
                <w:u w:val="none"/>
              </w:rPr>
            </w:pP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泽普县阿依库勒乡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19</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zp026</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农副产品深加工设备购置</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产地初加工和精深加工</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奎依巴格乡3村</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500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500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3"/>
                <w:szCs w:val="13"/>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500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3"/>
                <w:szCs w:val="13"/>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3"/>
                <w:szCs w:val="13"/>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3"/>
                <w:szCs w:val="13"/>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3"/>
                <w:szCs w:val="13"/>
                <w:u w:val="none"/>
              </w:rPr>
            </w:pP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泽普县工业园区管委会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20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zp027</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奎依巴格镇防渗渠建设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小型农田水利设施</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奎依巴格镇3村</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2000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2000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2000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3"/>
                <w:szCs w:val="13"/>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3"/>
                <w:szCs w:val="13"/>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3"/>
                <w:szCs w:val="13"/>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3"/>
                <w:szCs w:val="13"/>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3"/>
                <w:szCs w:val="13"/>
                <w:u w:val="none"/>
              </w:rPr>
            </w:pP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泽普县水利局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21</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zp028</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泽普县波斯喀木乡农村水利基础设施建设2025年中央财政以工代赈项目</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小型农田水利设施</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波斯喀木乡1村、2村、3村、5村、9村</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396</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396</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3"/>
                <w:szCs w:val="13"/>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3"/>
                <w:szCs w:val="13"/>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396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3"/>
                <w:szCs w:val="13"/>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3"/>
                <w:szCs w:val="13"/>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3"/>
                <w:szCs w:val="13"/>
                <w:u w:val="none"/>
              </w:rPr>
            </w:pP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泽普县波斯喀木乡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22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zp031</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泽普县奎依巴格乡农村水利基础设施建设2025年中央财政以工代赈项目</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小型农田水利设施</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奎依巴格乡10村</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210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210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3"/>
                <w:szCs w:val="13"/>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3"/>
                <w:szCs w:val="13"/>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210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3"/>
                <w:szCs w:val="13"/>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3"/>
                <w:szCs w:val="13"/>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3"/>
                <w:szCs w:val="13"/>
                <w:u w:val="none"/>
              </w:rPr>
            </w:pP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泽普县奎依巴格乡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23</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zp033</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lang w:val="en-US"/>
              </w:rPr>
            </w:pPr>
            <w:r>
              <w:rPr>
                <w:rFonts w:hint="default" w:ascii="Times New Roman" w:hAnsi="Times New Roman" w:eastAsia="宋体" w:cs="Times New Roman"/>
                <w:i w:val="0"/>
                <w:iCs w:val="0"/>
                <w:color w:val="000000"/>
                <w:kern w:val="0"/>
                <w:sz w:val="13"/>
                <w:szCs w:val="13"/>
                <w:u w:val="none"/>
                <w:lang w:val="en-US" w:eastAsia="zh-CN" w:bidi="ar"/>
              </w:rPr>
              <w:t>奎依巴格镇萨依吐格曼村农村水利基础设施建设2025年中央财政以工代赈</w:t>
            </w:r>
            <w:r>
              <w:rPr>
                <w:rFonts w:hint="eastAsia" w:cs="Times New Roman"/>
                <w:i w:val="0"/>
                <w:iCs w:val="0"/>
                <w:color w:val="000000"/>
                <w:kern w:val="0"/>
                <w:sz w:val="13"/>
                <w:szCs w:val="13"/>
                <w:u w:val="none"/>
                <w:lang w:val="en-US" w:eastAsia="zh-CN" w:bidi="ar"/>
              </w:rPr>
              <w:t>项目</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小型农田水利设施</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奎依巴格镇2村</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360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360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3"/>
                <w:szCs w:val="13"/>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3"/>
                <w:szCs w:val="13"/>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360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3"/>
                <w:szCs w:val="13"/>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3"/>
                <w:szCs w:val="13"/>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3"/>
                <w:szCs w:val="13"/>
                <w:u w:val="none"/>
              </w:rPr>
            </w:pP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泽普县奎依巴格镇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24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zp034</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防渗渠建设（少数民族发展任务）</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小型农田水利设施</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依玛乡3村，奎依巴格乡5村、6村，阿克塔木乡8村，布依鲁克乡1村</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728.5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728.5</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3"/>
                <w:szCs w:val="13"/>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3"/>
                <w:szCs w:val="13"/>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3"/>
                <w:szCs w:val="13"/>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728.5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3"/>
                <w:szCs w:val="13"/>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3"/>
                <w:szCs w:val="13"/>
                <w:u w:val="none"/>
              </w:rPr>
            </w:pP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泽普县委统战部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zp035</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小额贷款贴息</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小额贷款贴息</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泽普县137个行政村及良种场</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195.3</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195.3</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5"/>
                <w:szCs w:val="15"/>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195.3</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5"/>
                <w:szCs w:val="15"/>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5"/>
                <w:szCs w:val="15"/>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5"/>
                <w:szCs w:val="15"/>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5"/>
                <w:szCs w:val="15"/>
                <w:u w:val="none"/>
              </w:rPr>
            </w:pP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泽普县农业农村局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0" w:hRule="atLeast"/>
          <w:jc w:val="center"/>
        </w:trPr>
        <w:tc>
          <w:tcPr>
            <w:tcW w:w="2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二、就业增收（项目2个）</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6"/>
                <w:szCs w:val="16"/>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6"/>
                <w:szCs w:val="16"/>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325.7</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287.7</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287.7</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6"/>
                <w:szCs w:val="16"/>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6"/>
                <w:szCs w:val="16"/>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6"/>
                <w:szCs w:val="16"/>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38</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zp039</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脱贫户、监测对象公益性岗位补助</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公益性岗位</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泽普县137个行政村</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287.7</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287.7</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287.7</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泽普县人社局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zp040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畜牧防疫员公益性岗位补助</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公益性岗位</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波斯喀木乡、依玛乡、古勒巴格乡、赛力乡、依克苏乡、图呼其乡、奎依巴格乡、阿克塔木乡、阿依库勒乡</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38</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38</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泽普县农业农村局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center"/>
        </w:trPr>
        <w:tc>
          <w:tcPr>
            <w:tcW w:w="2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三、乡村建设行动（项目3个）</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6"/>
                <w:szCs w:val="16"/>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6"/>
                <w:szCs w:val="16"/>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900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900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600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6"/>
                <w:szCs w:val="16"/>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300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6"/>
                <w:szCs w:val="16"/>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6"/>
                <w:szCs w:val="16"/>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6"/>
                <w:szCs w:val="16"/>
                <w:u w:val="none"/>
              </w:rPr>
            </w:pP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zp041</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泽普县图呼其乡农村道路建设2025年中央财政以工代赈项目</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农村道路建设</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图呼其乡14村</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300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泽普县图呼其乡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zp044</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阿依库勒乡农村基础设施建设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农村道路建设</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阿依库勒乡6村</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300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泽普县阿依库勒乡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zp046</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污水调节池建设</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农村污水治理</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奎依巴格乡6村</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300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泽普县住建局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jc w:val="center"/>
        </w:trPr>
        <w:tc>
          <w:tcPr>
            <w:tcW w:w="2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四、巩固三保障成果（项目1个）</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6"/>
                <w:szCs w:val="16"/>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6"/>
                <w:szCs w:val="16"/>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327.15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327.15</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327.15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6"/>
                <w:szCs w:val="16"/>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6"/>
                <w:szCs w:val="16"/>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6"/>
                <w:szCs w:val="16"/>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6"/>
                <w:szCs w:val="16"/>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6"/>
                <w:szCs w:val="16"/>
                <w:u w:val="none"/>
              </w:rPr>
            </w:pP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zp050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雨露计划</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享受“雨露计划+”职业教育补助</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泽普县137个行政村及良种场</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327.15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327.15</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327.15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泽普县教育局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2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五、其他（项目1个）</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6"/>
                <w:szCs w:val="16"/>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6"/>
                <w:szCs w:val="16"/>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21.5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21.5</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6"/>
                <w:szCs w:val="16"/>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6"/>
                <w:szCs w:val="16"/>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21.5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6"/>
                <w:szCs w:val="16"/>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6"/>
                <w:szCs w:val="16"/>
                <w:u w:val="none"/>
              </w:rPr>
            </w:pP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zp051</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困难群众饮用低氟茶补助</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困难群众饮用低氟茶</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泽普县137个行政村及良种场</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21.5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21.5</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21.5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泽普县委统战部</w:t>
            </w:r>
          </w:p>
        </w:tc>
      </w:tr>
    </w:tbl>
    <w:p>
      <w:pPr>
        <w:pStyle w:val="7"/>
        <w:rPr>
          <w:rFonts w:hint="default" w:ascii="Times New Roman" w:hAnsi="Times New Roman" w:cs="Times New Roman"/>
          <w:lang w:val="en-US" w:eastAsia="zh-Hans"/>
        </w:rPr>
      </w:pPr>
    </w:p>
    <w:p>
      <w:pPr>
        <w:pStyle w:val="7"/>
        <w:rPr>
          <w:rFonts w:hint="default" w:ascii="Times New Roman" w:hAnsi="Times New Roman" w:cs="Times New Roman"/>
          <w:lang w:val="en-US" w:eastAsia="zh-Hans"/>
        </w:rPr>
      </w:pPr>
    </w:p>
    <w:p>
      <w:pPr>
        <w:keepNext w:val="0"/>
        <w:keepLines w:val="0"/>
        <w:pageBreakBefore w:val="0"/>
        <w:widowControl w:val="0"/>
        <w:numPr>
          <w:ilvl w:val="0"/>
          <w:numId w:val="5"/>
        </w:numPr>
        <w:suppressLineNumbers w:val="0"/>
        <w:kinsoku/>
        <w:wordWrap/>
        <w:overflowPunct/>
        <w:topLinePunct w:val="0"/>
        <w:autoSpaceDE w:val="0"/>
        <w:autoSpaceDN w:val="0"/>
        <w:bidi w:val="0"/>
        <w:adjustRightInd/>
        <w:snapToGrid/>
        <w:spacing w:before="0" w:after="0" w:line="600" w:lineRule="exact"/>
        <w:ind w:left="0" w:leftChars="0" w:right="0" w:rightChars="0" w:firstLine="627" w:firstLineChars="200"/>
        <w:jc w:val="both"/>
        <w:textAlignment w:val="auto"/>
        <w:outlineLvl w:val="9"/>
        <w:rPr>
          <w:rFonts w:hint="default" w:ascii="Times New Roman" w:hAnsi="Times New Roman" w:eastAsia="楷体_GB2312" w:cs="Times New Roman"/>
          <w:b/>
          <w:spacing w:val="-4"/>
          <w:sz w:val="32"/>
          <w:szCs w:val="32"/>
          <w:highlight w:val="none"/>
          <w:lang w:val="en-US" w:eastAsia="zh-Hans"/>
        </w:rPr>
      </w:pPr>
      <w:r>
        <w:rPr>
          <w:rFonts w:hint="default" w:ascii="Times New Roman" w:hAnsi="Times New Roman" w:eastAsia="楷体_GB2312" w:cs="Times New Roman"/>
          <w:b/>
          <w:spacing w:val="-4"/>
          <w:sz w:val="32"/>
          <w:szCs w:val="32"/>
          <w:highlight w:val="none"/>
          <w:lang w:val="en-US" w:eastAsia="zh-Hans"/>
        </w:rPr>
        <w:t>财政衔接推进乡村振兴补助资金相关政策办法。</w:t>
      </w:r>
    </w:p>
    <w:p>
      <w:pPr>
        <w:pStyle w:val="2"/>
        <w:numPr>
          <w:ilvl w:val="0"/>
          <w:numId w:val="0"/>
        </w:numPr>
        <w:ind w:leftChars="200"/>
        <w:rPr>
          <w:rFonts w:hint="default"/>
          <w:lang w:val="en-US" w:eastAsia="zh-Hans"/>
        </w:rPr>
      </w:pPr>
    </w:p>
    <w:p>
      <w:pPr>
        <w:rPr>
          <w:rFonts w:hint="default" w:ascii="Times New Roman" w:hAnsi="Times New Roman" w:cs="Times New Roman"/>
        </w:rPr>
      </w:pPr>
      <w:r>
        <w:rPr>
          <w:rFonts w:hint="default" w:ascii="Times New Roman" w:hAnsi="Times New Roman" w:eastAsia="方正小标宋简体" w:cs="Times New Roman"/>
          <w:color w:val="000000"/>
          <w:sz w:val="28"/>
          <w:szCs w:val="28"/>
        </w:rPr>
        <w:t>政策文件一</w:t>
      </w: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1438" w:firstLineChars="400"/>
        <w:jc w:val="both"/>
        <w:textAlignment w:val="baseline"/>
        <w:rPr>
          <w:rFonts w:hint="default" w:ascii="Times New Roman" w:hAnsi="Times New Roman" w:eastAsia="方正小标宋_GBK" w:cs="Times New Roman"/>
          <w:snapToGrid w:val="0"/>
          <w:color w:val="000000"/>
          <w:spacing w:val="6"/>
          <w:kern w:val="0"/>
          <w:sz w:val="36"/>
          <w:szCs w:val="36"/>
        </w:rPr>
      </w:pPr>
      <w:r>
        <w:rPr>
          <w:rFonts w:hint="default" w:ascii="Times New Roman" w:hAnsi="Times New Roman" w:eastAsia="方正小标宋_GBK" w:cs="Times New Roman"/>
          <w:b/>
          <w:bCs/>
          <w:snapToGrid w:val="0"/>
          <w:color w:val="000000"/>
          <w:spacing w:val="-1"/>
          <w:kern w:val="0"/>
          <w:sz w:val="36"/>
          <w:szCs w:val="36"/>
        </w:rPr>
        <w:t>新疆维吾尔自治区财政衔接推进乡村振兴</w:t>
      </w: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2875" w:firstLineChars="800"/>
        <w:jc w:val="both"/>
        <w:textAlignment w:val="baseline"/>
        <w:rPr>
          <w:rFonts w:hint="default" w:ascii="Times New Roman" w:hAnsi="Times New Roman" w:eastAsia="方正小标宋_GBK" w:cs="Times New Roman"/>
          <w:snapToGrid w:val="0"/>
          <w:color w:val="000000"/>
          <w:kern w:val="0"/>
          <w:sz w:val="36"/>
          <w:szCs w:val="36"/>
        </w:rPr>
      </w:pPr>
      <w:r>
        <w:rPr>
          <w:rFonts w:hint="default" w:ascii="Times New Roman" w:hAnsi="Times New Roman" w:eastAsia="方正小标宋_GBK" w:cs="Times New Roman"/>
          <w:b/>
          <w:bCs/>
          <w:snapToGrid w:val="0"/>
          <w:color w:val="000000"/>
          <w:spacing w:val="-1"/>
          <w:kern w:val="0"/>
          <w:sz w:val="36"/>
          <w:szCs w:val="36"/>
        </w:rPr>
        <w:t>补助资金管理办法</w:t>
      </w:r>
    </w:p>
    <w:p>
      <w:pPr>
        <w:keepNext w:val="0"/>
        <w:keepLines w:val="0"/>
        <w:pageBreakBefore w:val="0"/>
        <w:widowControl/>
        <w:kinsoku w:val="0"/>
        <w:wordWrap/>
        <w:overflowPunct/>
        <w:topLinePunct w:val="0"/>
        <w:autoSpaceDE w:val="0"/>
        <w:autoSpaceDN w:val="0"/>
        <w:bidi w:val="0"/>
        <w:adjustRightInd w:val="0"/>
        <w:snapToGrid w:val="0"/>
        <w:spacing w:line="570" w:lineRule="exact"/>
        <w:ind w:right="0"/>
        <w:jc w:val="both"/>
        <w:textAlignment w:val="baseline"/>
        <w:rPr>
          <w:rFonts w:hint="default" w:ascii="Times New Roman" w:hAnsi="Times New Roman" w:cs="Times New Roman"/>
          <w:snapToGrid w:val="0"/>
          <w:color w:val="000000"/>
          <w:kern w:val="0"/>
          <w:szCs w:val="21"/>
        </w:rPr>
      </w:pP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第一章总</w:t>
      </w:r>
      <w:r>
        <w:rPr>
          <w:rFonts w:hint="default" w:ascii="Times New Roman" w:hAnsi="Times New Roman" w:eastAsia="方正仿宋_GBK" w:cs="Times New Roman"/>
          <w:sz w:val="32"/>
          <w:szCs w:val="32"/>
          <w:highlight w:val="none"/>
          <w:lang w:val="en-US" w:eastAsia="zh-CN"/>
        </w:rPr>
        <w:t>则</w:t>
      </w: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643" w:firstLineChars="200"/>
        <w:jc w:val="both"/>
        <w:textAlignment w:val="baseline"/>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bCs/>
          <w:snapToGrid w:val="0"/>
          <w:color w:val="000000"/>
          <w:kern w:val="0"/>
          <w:sz w:val="32"/>
          <w:szCs w:val="32"/>
        </w:rPr>
        <w:t>第一条</w:t>
      </w:r>
      <w:r>
        <w:rPr>
          <w:rFonts w:hint="default" w:ascii="Times New Roman" w:hAnsi="Times New Roman" w:eastAsia="仿宋_GB2312" w:cs="Times New Roman"/>
          <w:snapToGrid w:val="0"/>
          <w:color w:val="000000"/>
          <w:kern w:val="0"/>
          <w:sz w:val="32"/>
          <w:szCs w:val="32"/>
        </w:rPr>
        <w:t xml:space="preserve"> </w:t>
      </w:r>
      <w:r>
        <w:rPr>
          <w:rFonts w:hint="default" w:ascii="Times New Roman" w:hAnsi="Times New Roman" w:eastAsia="方正仿宋_GBK" w:cs="Times New Roman"/>
          <w:sz w:val="32"/>
          <w:szCs w:val="32"/>
          <w:highlight w:val="none"/>
        </w:rPr>
        <w:t>为贯彻落实党中央、国务院关于实现巩固拓展脱贫攻坚成果同乡村振兴有效衔接的决策部署，根据《自治区党委、自治区人民政府关于贯彻落实〈中共中央国务院关于实现巩固拓展脱贫攻坚成果同乡村振兴有效衔接的意见〉的实施意见》和第三次中央新疆工作座谈会精神，加强过渡期财政衔接推进乡村振兴补助资金(以下简称衔接资金)管理，按照《中华人民共和国预算法》《中央财政衔接推进乡村振兴补助资金管理办法》等有关规定，结合自治区实际，制定本办法。</w:t>
      </w:r>
    </w:p>
    <w:p>
      <w:pPr>
        <w:keepNext w:val="0"/>
        <w:keepLines w:val="0"/>
        <w:pageBreakBefore w:val="0"/>
        <w:widowControl w:val="0"/>
        <w:kinsoku/>
        <w:wordWrap/>
        <w:overflowPunct/>
        <w:topLinePunct w:val="0"/>
        <w:autoSpaceDE/>
        <w:bidi w:val="0"/>
        <w:spacing w:line="620" w:lineRule="exact"/>
        <w:ind w:firstLine="643"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bCs/>
          <w:snapToGrid w:val="0"/>
          <w:color w:val="000000"/>
          <w:kern w:val="0"/>
          <w:sz w:val="32"/>
          <w:szCs w:val="32"/>
        </w:rPr>
        <w:t>第二条</w:t>
      </w:r>
      <w:r>
        <w:rPr>
          <w:rFonts w:hint="default" w:ascii="Times New Roman" w:hAnsi="Times New Roman" w:eastAsia="仿宋_GB2312" w:cs="Times New Roman"/>
          <w:snapToGrid w:val="0"/>
          <w:color w:val="000000"/>
          <w:kern w:val="0"/>
          <w:sz w:val="32"/>
          <w:szCs w:val="32"/>
        </w:rPr>
        <w:t xml:space="preserve"> </w:t>
      </w:r>
      <w:r>
        <w:rPr>
          <w:rFonts w:hint="default" w:ascii="Times New Roman" w:hAnsi="Times New Roman" w:eastAsia="方正仿宋_GBK" w:cs="Times New Roman"/>
          <w:sz w:val="32"/>
          <w:szCs w:val="32"/>
          <w:highlight w:val="none"/>
        </w:rPr>
        <w:t>本办法所称衔接资金是指中央和自治区通过财政公共预算安排，用于支持各地巩固拓展脱贫攻坚成果同推进乡村振兴有效衔接的资金。</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第二章 资金使用</w:t>
      </w:r>
    </w:p>
    <w:p>
      <w:pPr>
        <w:keepNext w:val="0"/>
        <w:keepLines w:val="0"/>
        <w:pageBreakBefore w:val="0"/>
        <w:widowControl w:val="0"/>
        <w:kinsoku/>
        <w:wordWrap/>
        <w:overflowPunct/>
        <w:topLinePunct w:val="0"/>
        <w:autoSpaceDE/>
        <w:bidi w:val="0"/>
        <w:spacing w:line="620" w:lineRule="exact"/>
        <w:ind w:firstLine="643"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snapToGrid w:val="0"/>
          <w:color w:val="000000"/>
          <w:kern w:val="0"/>
          <w:sz w:val="32"/>
          <w:szCs w:val="32"/>
        </w:rPr>
        <w:t>第三条</w:t>
      </w:r>
      <w:r>
        <w:rPr>
          <w:rFonts w:hint="default" w:ascii="Times New Roman" w:hAnsi="Times New Roman" w:eastAsia="仿宋_GB2312" w:cs="Times New Roman"/>
          <w:snapToGrid w:val="0"/>
          <w:color w:val="000000"/>
          <w:kern w:val="0"/>
          <w:sz w:val="32"/>
          <w:szCs w:val="32"/>
        </w:rPr>
        <w:t xml:space="preserve"> </w:t>
      </w:r>
      <w:r>
        <w:rPr>
          <w:rFonts w:hint="default" w:ascii="Times New Roman" w:hAnsi="Times New Roman" w:eastAsia="方正仿宋_GBK" w:cs="Times New Roman"/>
          <w:sz w:val="32"/>
          <w:szCs w:val="32"/>
          <w:highlight w:val="none"/>
        </w:rPr>
        <w:t>衔接资金应当统筹安排使用形成合力，主要用于支持以下三个方面：</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(一)支持巩固拓展脱贫攻坚成果。</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1.健全防止返贫致贫和帮扶机制，加强预警，强化及时帮扶，对帮扶对象采取有针对性的预防性措施和事后帮 扶措施。可安排产业发展、小额信贷贴息、生产经营和劳动技能 培训、公益岗位补助等支出。低保、医保、养老保险、临时救助等综合保障措施，通过原资金渠道支持。预警工作经费通过各级部门预算安排。</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2.“十三五”易地扶贫搬迁后续扶持。支持实施带动搬迁群众 发展的项目，对集中安置区聘用搬迁群众的公共服务岗位和“一 站式”社区综合服务设施建设等费用予以适当补助。对规划内的易地扶贫搬迁贷款和调整规范易地扶贫搬迁融资方式后的地方政府债券按规定予以贴息补助。</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3.外出务工脱贫劳动力(含帮扶对象)就业。对跨 省区就业的脱贫劳动力中央衔接资金可适当安排一次性交通补助，自治区衔接资金可对疆内跨地(州、市)就业的脱贫劳动力适当安排一次性交通补助。采取扶贫车间、以工代赈、生产奖补、劳务补助等方式，促进返乡在乡脱贫劳动力发展产业和就业增收。对吸纳脱贫劳动力就业的扶贫车间继续给予奖补 ，对推进巩固拓展脱贫攻坚成果同乡村振兴有 效衔接的龙头企业、国有农垦企业、合作社等给予支持。继续向符合条件的脱贫家庭(含帮扶对象家庭)安排“雨露计划”补助。</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(二)支持衔接推进乡村振兴。</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1.培育和壮大脱贫地区特色优势产业。年度到县的中央衔接 资金原则上不低于50%用于支持特色产业发展,并逐年提高资金占比。支持农业品种培优、品质提升、品牌打造。推动产销对接 和消费帮扶，解决农产品“卖难”问题。支持必要的产业配套基础 设施建设。支持脱贫村发展壮大村级集体经济和支持欠发达国有农牧林场发展国有经济。2.补齐必要的农村人居环境整治和小型公益性基础设施建 设短板。主要包括水、电、路、网等农业生产配套设施，污水垃 圾清运处理等小型公益性生活设施，以及农户庭院整治、三区分离、改厨改厕、住房加固节能改造等。教育、卫生、养老服务、文化等农村基本公共服务通过原资金渠道支持。3.确保衔接资金完成实施兴边富民行动、人口较少民族发展、少数民族特色产业和民族村寨发展、群众饮用低氟边销茶，以工代赈项目，欠发达国有农牧林场专项任务。</w:t>
      </w: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644" w:firstLineChars="200"/>
        <w:jc w:val="both"/>
        <w:textAlignment w:val="baseline"/>
        <w:rPr>
          <w:rFonts w:hint="default" w:ascii="Times New Roman" w:hAnsi="Times New Roman" w:eastAsia="仿宋_GB2312" w:cs="Times New Roman"/>
          <w:snapToGrid w:val="0"/>
          <w:color w:val="000000"/>
          <w:spacing w:val="1"/>
          <w:kern w:val="0"/>
          <w:sz w:val="32"/>
          <w:szCs w:val="32"/>
        </w:rPr>
      </w:pPr>
      <w:r>
        <w:rPr>
          <w:rFonts w:hint="default" w:ascii="Times New Roman" w:hAnsi="Times New Roman" w:eastAsia="仿宋_GB2312" w:cs="Times New Roman"/>
          <w:snapToGrid w:val="0"/>
          <w:color w:val="000000"/>
          <w:spacing w:val="1"/>
          <w:kern w:val="0"/>
          <w:sz w:val="32"/>
          <w:szCs w:val="32"/>
        </w:rPr>
        <w:t>(三)巩固拓展脱贫攻坚成果同乡村振兴有效衔接的其他相关支出。</w:t>
      </w: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647" w:firstLineChars="200"/>
        <w:jc w:val="both"/>
        <w:textAlignment w:val="baseline"/>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snapToGrid w:val="0"/>
          <w:color w:val="000000"/>
          <w:spacing w:val="1"/>
          <w:kern w:val="0"/>
          <w:sz w:val="32"/>
          <w:szCs w:val="32"/>
        </w:rPr>
        <w:t>第四条</w:t>
      </w:r>
      <w:r>
        <w:rPr>
          <w:rFonts w:hint="default" w:ascii="Times New Roman" w:hAnsi="Times New Roman" w:eastAsia="仿宋_GB2312" w:cs="Times New Roman"/>
          <w:snapToGrid w:val="0"/>
          <w:color w:val="000000"/>
          <w:spacing w:val="1"/>
          <w:kern w:val="0"/>
          <w:sz w:val="32"/>
          <w:szCs w:val="32"/>
        </w:rPr>
        <w:t xml:space="preserve"> </w:t>
      </w:r>
      <w:r>
        <w:rPr>
          <w:rFonts w:hint="default" w:ascii="Times New Roman" w:hAnsi="Times New Roman" w:eastAsia="方正仿宋_GBK" w:cs="Times New Roman"/>
          <w:sz w:val="32"/>
          <w:szCs w:val="32"/>
          <w:highlight w:val="none"/>
        </w:rPr>
        <w:t>衔接资金不得用于与巩固拓展脱贫攻坚成果和推进脱贫地区乡村振兴无关的支出。包括：1.单位基本支出;2.交通工具及通讯设备；3.修建楼堂馆所；4.各种奖金津贴和福利补助；5.偿还债务和垫资；6.弥补企业亏损；7.城市基础设施建设；8.其他与巩固拓展脱贫攻坚成果同乡村振兴无关的支出。偿还易地扶贫搬迁长期低息贷款按有关计划执行；用于易地扶贫搬迁的地方政府债券资金按有关规定执行。</w:t>
      </w: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624" w:firstLineChars="200"/>
        <w:jc w:val="both"/>
        <w:textAlignment w:val="baseline"/>
        <w:rPr>
          <w:rFonts w:hint="default" w:ascii="Times New Roman" w:hAnsi="Times New Roman" w:eastAsia="仿宋_GB2312" w:cs="Times New Roman"/>
          <w:snapToGrid w:val="0"/>
          <w:color w:val="000000"/>
          <w:kern w:val="0"/>
          <w:sz w:val="32"/>
          <w:szCs w:val="32"/>
        </w:rPr>
      </w:pPr>
      <w:r>
        <w:rPr>
          <w:rFonts w:hint="default" w:ascii="Times New Roman" w:hAnsi="Times New Roman" w:eastAsia="仿宋_GB2312" w:cs="Times New Roman"/>
          <w:snapToGrid w:val="0"/>
          <w:color w:val="000000"/>
          <w:spacing w:val="-4"/>
          <w:kern w:val="0"/>
          <w:sz w:val="32"/>
          <w:szCs w:val="32"/>
        </w:rPr>
        <w:t>第三章</w:t>
      </w:r>
      <w:r>
        <w:rPr>
          <w:rFonts w:hint="default" w:ascii="Times New Roman" w:hAnsi="Times New Roman" w:eastAsia="仿宋_GB2312" w:cs="Times New Roman"/>
          <w:snapToGrid w:val="0"/>
          <w:color w:val="000000"/>
          <w:spacing w:val="134"/>
          <w:kern w:val="0"/>
          <w:sz w:val="32"/>
          <w:szCs w:val="32"/>
        </w:rPr>
        <w:t xml:space="preserve"> </w:t>
      </w:r>
      <w:r>
        <w:rPr>
          <w:rFonts w:hint="default" w:ascii="Times New Roman" w:hAnsi="Times New Roman" w:eastAsia="仿宋_GB2312" w:cs="Times New Roman"/>
          <w:snapToGrid w:val="0"/>
          <w:color w:val="000000"/>
          <w:spacing w:val="-4"/>
          <w:kern w:val="0"/>
          <w:sz w:val="32"/>
          <w:szCs w:val="32"/>
        </w:rPr>
        <w:t>资金管理</w:t>
      </w: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619" w:firstLineChars="200"/>
        <w:jc w:val="both"/>
        <w:textAlignment w:val="baseline"/>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bCs/>
          <w:snapToGrid w:val="0"/>
          <w:color w:val="000000"/>
          <w:spacing w:val="-6"/>
          <w:kern w:val="0"/>
          <w:sz w:val="32"/>
          <w:szCs w:val="32"/>
        </w:rPr>
        <w:t>第五条</w:t>
      </w:r>
      <w:r>
        <w:rPr>
          <w:rFonts w:hint="default" w:ascii="Times New Roman" w:hAnsi="Times New Roman" w:eastAsia="仿宋_GB2312" w:cs="Times New Roman"/>
          <w:snapToGrid w:val="0"/>
          <w:color w:val="000000"/>
          <w:spacing w:val="22"/>
          <w:kern w:val="0"/>
          <w:sz w:val="32"/>
          <w:szCs w:val="32"/>
        </w:rPr>
        <w:t xml:space="preserve"> </w:t>
      </w:r>
      <w:r>
        <w:rPr>
          <w:rFonts w:hint="default" w:ascii="Times New Roman" w:hAnsi="Times New Roman" w:eastAsia="方正仿宋_GBK" w:cs="Times New Roman"/>
          <w:sz w:val="32"/>
          <w:szCs w:val="32"/>
          <w:highlight w:val="none"/>
        </w:rPr>
        <w:t>各级财政部门要根据巩固拓展脱贫攻坚成果同乡村振兴有效衔接的任务需要及财力情况每年预算安排一定规模的本级衔接资金，保持投入力度总体。</w:t>
      </w: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623" w:firstLineChars="200"/>
        <w:jc w:val="both"/>
        <w:textAlignment w:val="baseline"/>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bCs/>
          <w:snapToGrid w:val="0"/>
          <w:color w:val="000000"/>
          <w:spacing w:val="-5"/>
          <w:kern w:val="0"/>
          <w:sz w:val="32"/>
          <w:szCs w:val="32"/>
        </w:rPr>
        <w:t>第六条</w:t>
      </w:r>
      <w:r>
        <w:rPr>
          <w:rFonts w:hint="default" w:ascii="Times New Roman" w:hAnsi="Times New Roman" w:eastAsia="仿宋_GB2312" w:cs="Times New Roman"/>
          <w:snapToGrid w:val="0"/>
          <w:color w:val="000000"/>
          <w:spacing w:val="39"/>
          <w:kern w:val="0"/>
          <w:sz w:val="32"/>
          <w:szCs w:val="32"/>
        </w:rPr>
        <w:t xml:space="preserve"> </w:t>
      </w:r>
      <w:r>
        <w:rPr>
          <w:rFonts w:hint="default" w:ascii="Times New Roman" w:hAnsi="Times New Roman" w:eastAsia="方正仿宋_GBK" w:cs="Times New Roman"/>
          <w:sz w:val="32"/>
          <w:szCs w:val="32"/>
          <w:highlight w:val="none"/>
        </w:rPr>
        <w:t>衔接资金按照巩固拓展脱贫攻坚成果和乡村振兴、 以工代赈、少数民族发展、欠发达国有农牧林场巩固提升进行分配。资金分配主要按照因素法进行测算，因素和权重为：相关人群数量及结构30%、相关人群收入30%、政策因素30%、绩效等考核结果10%,可根据当年中央或自治区党委、自治区人民政府重点工作任务并进行综合平衡。</w:t>
      </w: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631" w:firstLineChars="200"/>
        <w:jc w:val="both"/>
        <w:textAlignment w:val="baseline"/>
        <w:rPr>
          <w:rFonts w:hint="default" w:ascii="Times New Roman" w:hAnsi="Times New Roman" w:eastAsia="仿宋_GB2312" w:cs="Times New Roman"/>
          <w:snapToGrid w:val="0"/>
          <w:color w:val="000000"/>
          <w:kern w:val="0"/>
          <w:sz w:val="32"/>
          <w:szCs w:val="32"/>
        </w:rPr>
      </w:pPr>
      <w:r>
        <w:rPr>
          <w:rFonts w:hint="default" w:ascii="Times New Roman" w:hAnsi="Times New Roman" w:eastAsia="仿宋_GB2312" w:cs="Times New Roman"/>
          <w:b/>
          <w:bCs/>
          <w:snapToGrid w:val="0"/>
          <w:color w:val="000000"/>
          <w:spacing w:val="-3"/>
          <w:kern w:val="0"/>
          <w:sz w:val="32"/>
          <w:szCs w:val="32"/>
        </w:rPr>
        <w:t>第七条</w:t>
      </w:r>
      <w:r>
        <w:rPr>
          <w:rFonts w:hint="default" w:ascii="Times New Roman" w:hAnsi="Times New Roman" w:eastAsia="仿宋_GB2312" w:cs="Times New Roman"/>
          <w:snapToGrid w:val="0"/>
          <w:color w:val="000000"/>
          <w:spacing w:val="23"/>
          <w:kern w:val="0"/>
          <w:sz w:val="32"/>
          <w:szCs w:val="32"/>
        </w:rPr>
        <w:t xml:space="preserve"> </w:t>
      </w:r>
      <w:r>
        <w:rPr>
          <w:rFonts w:hint="default" w:ascii="Times New Roman" w:hAnsi="Times New Roman" w:eastAsia="方正仿宋_GBK" w:cs="Times New Roman"/>
          <w:sz w:val="32"/>
          <w:szCs w:val="32"/>
          <w:highlight w:val="none"/>
        </w:rPr>
        <w:t>衔接资金安排应综合考虑脱贫县规模和分布，兼顾脱贫县和非贫困县的实际情况,对国家和自治区乡村振兴重点帮 扶县予以倾斜。衔接资金项目审批权限下放到县级，强化县级管理责任,县级可统筹安排不超过30%的到县衔接资金,支持非贫困村发展产业、补齐必要的基础设施短板及县级乡村振兴规划相关项目。</w:t>
      </w: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635" w:firstLineChars="200"/>
        <w:jc w:val="both"/>
        <w:textAlignment w:val="baseline"/>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bCs/>
          <w:snapToGrid w:val="0"/>
          <w:color w:val="000000"/>
          <w:spacing w:val="-2"/>
          <w:kern w:val="0"/>
          <w:sz w:val="32"/>
          <w:szCs w:val="32"/>
        </w:rPr>
        <w:t>第八条</w:t>
      </w:r>
      <w:r>
        <w:rPr>
          <w:rFonts w:hint="default" w:ascii="Times New Roman" w:hAnsi="Times New Roman" w:eastAsia="仿宋_GB2312" w:cs="Times New Roman"/>
          <w:snapToGrid w:val="0"/>
          <w:color w:val="000000"/>
          <w:spacing w:val="66"/>
          <w:kern w:val="0"/>
          <w:sz w:val="32"/>
          <w:szCs w:val="32"/>
        </w:rPr>
        <w:t xml:space="preserve"> </w:t>
      </w:r>
      <w:r>
        <w:rPr>
          <w:rFonts w:hint="default" w:ascii="Times New Roman" w:hAnsi="Times New Roman" w:eastAsia="方正仿宋_GBK" w:cs="Times New Roman"/>
          <w:sz w:val="32"/>
          <w:szCs w:val="32"/>
          <w:highlight w:val="none"/>
        </w:rPr>
        <w:t>各地要建立完善巩固拓展脱贫攻坚成果和乡村振兴项目库，提前做好项目储备，严格项目论证入库，衔接资金支持的项目原则上要从项目库选择，且符合本办法要求。属于政府采购管理范围的项目,执行政府采购相关规定。村级微小型项目可按照村民民主议事方式直接委托村级组织自建自营。各地要加强衔接资金和项目管理，落实绩效管理要求，全面推行公开公示制度，加快预算执行，提高资金使用效益。</w:t>
      </w: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603" w:firstLineChars="200"/>
        <w:jc w:val="both"/>
        <w:textAlignment w:val="baseline"/>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bCs/>
          <w:snapToGrid w:val="0"/>
          <w:color w:val="000000"/>
          <w:spacing w:val="-10"/>
          <w:kern w:val="0"/>
          <w:sz w:val="32"/>
          <w:szCs w:val="32"/>
        </w:rPr>
        <w:t>第九条</w:t>
      </w:r>
      <w:r>
        <w:rPr>
          <w:rFonts w:hint="default" w:ascii="Times New Roman" w:hAnsi="Times New Roman" w:eastAsia="仿宋_GB2312" w:cs="Times New Roman"/>
          <w:snapToGrid w:val="0"/>
          <w:color w:val="000000"/>
          <w:spacing w:val="13"/>
          <w:kern w:val="0"/>
          <w:sz w:val="32"/>
          <w:szCs w:val="32"/>
        </w:rPr>
        <w:t xml:space="preserve"> </w:t>
      </w:r>
      <w:r>
        <w:rPr>
          <w:rFonts w:hint="default" w:ascii="Times New Roman" w:hAnsi="Times New Roman" w:eastAsia="方正仿宋_GBK" w:cs="Times New Roman"/>
          <w:sz w:val="32"/>
          <w:szCs w:val="32"/>
          <w:highlight w:val="none"/>
        </w:rPr>
        <w:t>县级可根据衔接资金项目管理工作需要， 从衔接资金中，按最高不超过1%的比例据实列支项目管理费。项目管理费主要用于项目前期设计、评审、招标、监理以及验收等与项目管理相关的支出。</w:t>
      </w: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635" w:firstLineChars="200"/>
        <w:jc w:val="both"/>
        <w:textAlignment w:val="baseline"/>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bCs/>
          <w:snapToGrid w:val="0"/>
          <w:color w:val="000000"/>
          <w:spacing w:val="-2"/>
          <w:kern w:val="0"/>
          <w:sz w:val="32"/>
          <w:szCs w:val="32"/>
        </w:rPr>
        <w:t>第十条</w:t>
      </w:r>
      <w:r>
        <w:rPr>
          <w:rFonts w:hint="default" w:ascii="Times New Roman" w:hAnsi="Times New Roman" w:eastAsia="仿宋_GB2312" w:cs="Times New Roman"/>
          <w:snapToGrid w:val="0"/>
          <w:color w:val="000000"/>
          <w:spacing w:val="36"/>
          <w:kern w:val="0"/>
          <w:sz w:val="32"/>
          <w:szCs w:val="32"/>
        </w:rPr>
        <w:t xml:space="preserve"> </w:t>
      </w:r>
      <w:r>
        <w:rPr>
          <w:rFonts w:hint="default" w:ascii="Times New Roman" w:hAnsi="Times New Roman" w:eastAsia="方正仿宋_GBK" w:cs="Times New Roman"/>
          <w:sz w:val="32"/>
          <w:szCs w:val="32"/>
          <w:highlight w:val="none"/>
        </w:rPr>
        <w:t>各级财政部门负责预算安排、审核资金分配建议方案和下达资金,指导各级乡村振兴、发展改革、民委、农业农村、林草等行业主管部门(以下简称行业主管部门)加强资金监管和绩效管理。各级行业主管部门负责提出资金分配建议方案、资金和项目使用管理、绩效管理、监督管理等工作，按照权责对等原则落实监管责任。</w:t>
      </w: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655" w:firstLineChars="200"/>
        <w:jc w:val="both"/>
        <w:textAlignment w:val="baseline"/>
        <w:rPr>
          <w:rFonts w:hint="default" w:ascii="Times New Roman" w:hAnsi="Times New Roman" w:eastAsia="仿宋_GB2312" w:cs="Times New Roman"/>
          <w:snapToGrid w:val="0"/>
          <w:color w:val="000000"/>
          <w:spacing w:val="4"/>
          <w:kern w:val="0"/>
          <w:sz w:val="32"/>
          <w:szCs w:val="32"/>
        </w:rPr>
      </w:pPr>
      <w:r>
        <w:rPr>
          <w:rFonts w:hint="default" w:ascii="Times New Roman" w:hAnsi="Times New Roman" w:eastAsia="仿宋_GB2312" w:cs="Times New Roman"/>
          <w:b/>
          <w:snapToGrid w:val="0"/>
          <w:color w:val="000000"/>
          <w:spacing w:val="3"/>
          <w:kern w:val="0"/>
          <w:sz w:val="32"/>
          <w:szCs w:val="32"/>
        </w:rPr>
        <w:t>第十一条</w:t>
      </w:r>
      <w:r>
        <w:rPr>
          <w:rFonts w:hint="default" w:ascii="Times New Roman" w:hAnsi="Times New Roman" w:eastAsia="仿宋_GB2312" w:cs="Times New Roman"/>
          <w:snapToGrid w:val="0"/>
          <w:color w:val="000000"/>
          <w:spacing w:val="3"/>
          <w:kern w:val="0"/>
          <w:sz w:val="32"/>
          <w:szCs w:val="32"/>
        </w:rPr>
        <w:t xml:space="preserve"> </w:t>
      </w:r>
      <w:r>
        <w:rPr>
          <w:rFonts w:hint="default" w:ascii="Times New Roman" w:hAnsi="Times New Roman" w:eastAsia="方正仿宋_GBK" w:cs="Times New Roman"/>
          <w:sz w:val="32"/>
          <w:szCs w:val="32"/>
          <w:highlight w:val="none"/>
        </w:rPr>
        <w:t>自治区乡村振兴、发展改革、民委、农业农村、林草等行业主管部门在收到资金文件或财政厅告知函后10日内，提出资金分配方案正式行文报财政厅；财政厅在15日内，按程序审核分配方案，报请自治区人民政府审定后，下达资金，并抄送财政部新疆监管局。地州市财政部门在收到资金文件后，要及时书面通知同级行业主管部门,在5日内将指标或资金及时下达到有关县(市、区)。</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县级财政部门在收到资金文件后,要及时书面通知同级行业主管部门,并由县级行业主管部门会同财政部门根据年度巩固拓 展脱贫攻坚成果同乡村振兴有效衔接工作任务,从项目库中遴选 项目，及时拟定年度项目计划或资金使用方案,并逐级上报行业主管部门备案。</w:t>
      </w: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671" w:firstLineChars="200"/>
        <w:jc w:val="both"/>
        <w:textAlignment w:val="baseline"/>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bCs/>
          <w:snapToGrid w:val="0"/>
          <w:color w:val="000000"/>
          <w:spacing w:val="7"/>
          <w:kern w:val="0"/>
          <w:sz w:val="32"/>
          <w:szCs w:val="32"/>
        </w:rPr>
        <w:t>第十二条</w:t>
      </w:r>
      <w:r>
        <w:rPr>
          <w:rFonts w:hint="default" w:ascii="Times New Roman" w:hAnsi="Times New Roman" w:eastAsia="仿宋_GB2312" w:cs="Times New Roman"/>
          <w:snapToGrid w:val="0"/>
          <w:color w:val="000000"/>
          <w:spacing w:val="48"/>
          <w:kern w:val="0"/>
          <w:sz w:val="32"/>
          <w:szCs w:val="32"/>
        </w:rPr>
        <w:t xml:space="preserve"> </w:t>
      </w:r>
      <w:r>
        <w:rPr>
          <w:rFonts w:hint="default" w:ascii="Times New Roman" w:hAnsi="Times New Roman" w:eastAsia="方正仿宋_GBK" w:cs="Times New Roman"/>
          <w:sz w:val="32"/>
          <w:szCs w:val="32"/>
          <w:highlight w:val="none"/>
        </w:rPr>
        <w:t>各级财政部门按照工作职责和工作要求，对衔接 资金使用管理情况进行监管。各级财政和行业主管部门按要求配合审计、纪检监察、检察机关做好衔接资金和项目的审计、检查等工作。</w:t>
      </w: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675" w:firstLineChars="200"/>
        <w:jc w:val="both"/>
        <w:textAlignment w:val="baseline"/>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bCs/>
          <w:snapToGrid w:val="0"/>
          <w:color w:val="000000"/>
          <w:spacing w:val="8"/>
          <w:kern w:val="0"/>
          <w:sz w:val="32"/>
          <w:szCs w:val="32"/>
        </w:rPr>
        <w:t>第十三条</w:t>
      </w:r>
      <w:r>
        <w:rPr>
          <w:rFonts w:hint="default" w:ascii="Times New Roman" w:hAnsi="Times New Roman" w:eastAsia="仿宋_GB2312" w:cs="Times New Roman"/>
          <w:snapToGrid w:val="0"/>
          <w:color w:val="000000"/>
          <w:spacing w:val="14"/>
          <w:kern w:val="0"/>
          <w:sz w:val="32"/>
          <w:szCs w:val="32"/>
        </w:rPr>
        <w:t xml:space="preserve"> </w:t>
      </w:r>
      <w:r>
        <w:rPr>
          <w:rFonts w:hint="default" w:ascii="Times New Roman" w:hAnsi="Times New Roman" w:eastAsia="方正仿宋_GBK" w:cs="Times New Roman"/>
          <w:sz w:val="32"/>
          <w:szCs w:val="32"/>
          <w:highlight w:val="none"/>
        </w:rPr>
        <w:t>衔接资金实行国库集中支付管理。各级财政部门应当按照国库集中支付制度的有关规定和政府采购程序，及时办理资金拨付手续。县级行业主管部门根据项目的实际情况，可采取工程竣工决算后一次性支付或按工程进度分批次申请支付项目资金。经县级行业主管部门出具审核意见后，县级财政部门可预付部分项目启动资金，比例由县级根据实际自行确定。预付资金在项 目资金支付时抵扣。预付资金总额合计原则上不超过应付该项目 资金总额的50%,其中：基础建设类项目预付资金原则上不超过合同金额的30%。项目资金支付后，在审计或检查中发现资金使用存在违法违规问题的，应及时追回、收回。</w:t>
      </w: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639" w:firstLineChars="200"/>
        <w:jc w:val="both"/>
        <w:textAlignment w:val="baseline"/>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bCs/>
          <w:snapToGrid w:val="0"/>
          <w:color w:val="000000"/>
          <w:spacing w:val="-1"/>
          <w:kern w:val="0"/>
          <w:sz w:val="32"/>
          <w:szCs w:val="32"/>
        </w:rPr>
        <w:t>第十四条</w:t>
      </w:r>
      <w:r>
        <w:rPr>
          <w:rFonts w:hint="default" w:ascii="Times New Roman" w:hAnsi="Times New Roman" w:eastAsia="仿宋_GB2312" w:cs="Times New Roman"/>
          <w:snapToGrid w:val="0"/>
          <w:color w:val="000000"/>
          <w:spacing w:val="28"/>
          <w:kern w:val="0"/>
          <w:sz w:val="32"/>
          <w:szCs w:val="32"/>
        </w:rPr>
        <w:t xml:space="preserve"> </w:t>
      </w:r>
      <w:r>
        <w:rPr>
          <w:rFonts w:hint="default" w:ascii="Times New Roman" w:hAnsi="Times New Roman" w:eastAsia="方正仿宋_GBK" w:cs="Times New Roman"/>
          <w:sz w:val="32"/>
          <w:szCs w:val="32"/>
          <w:highlight w:val="none"/>
        </w:rPr>
        <w:t>各地衔接资金执行进度纳入自治区衔接资金绩效 考评内容，严禁虚列支出、以拨代支虚增预算执行进度。各地要定期清理盘活历年结转结余资金，上年结转结余资金按照自治区关于结转结余资金管理的相关规定执行。</w:t>
      </w: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639" w:firstLineChars="200"/>
        <w:jc w:val="both"/>
        <w:textAlignment w:val="baseline"/>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bCs/>
          <w:snapToGrid w:val="0"/>
          <w:color w:val="000000"/>
          <w:spacing w:val="-1"/>
          <w:kern w:val="0"/>
          <w:sz w:val="32"/>
          <w:szCs w:val="32"/>
        </w:rPr>
        <w:t>第十五条</w:t>
      </w:r>
      <w:r>
        <w:rPr>
          <w:rFonts w:hint="default" w:ascii="Times New Roman" w:hAnsi="Times New Roman" w:eastAsia="仿宋_GB2312" w:cs="Times New Roman"/>
          <w:snapToGrid w:val="0"/>
          <w:color w:val="000000"/>
          <w:spacing w:val="19"/>
          <w:kern w:val="0"/>
          <w:sz w:val="32"/>
          <w:szCs w:val="32"/>
        </w:rPr>
        <w:t xml:space="preserve"> </w:t>
      </w:r>
      <w:r>
        <w:rPr>
          <w:rFonts w:hint="default" w:ascii="Times New Roman" w:hAnsi="Times New Roman" w:eastAsia="方正仿宋_GBK" w:cs="Times New Roman"/>
          <w:sz w:val="32"/>
          <w:szCs w:val="32"/>
          <w:highlight w:val="none"/>
        </w:rPr>
        <w:t>继续按规定开展统筹整合使用财政涉农资金试点 工作的脱贫县,衔接资金使用按照涉农资金统筹整合有关要求执行。</w:t>
      </w: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639" w:firstLineChars="200"/>
        <w:jc w:val="both"/>
        <w:textAlignment w:val="baseline"/>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bCs/>
          <w:snapToGrid w:val="0"/>
          <w:color w:val="000000"/>
          <w:spacing w:val="-1"/>
          <w:kern w:val="0"/>
          <w:sz w:val="32"/>
          <w:szCs w:val="32"/>
        </w:rPr>
        <w:t>第十六条</w:t>
      </w:r>
      <w:r>
        <w:rPr>
          <w:rFonts w:hint="default" w:ascii="Times New Roman" w:hAnsi="Times New Roman" w:eastAsia="仿宋_GB2312" w:cs="Times New Roman"/>
          <w:snapToGrid w:val="0"/>
          <w:color w:val="000000"/>
          <w:spacing w:val="19"/>
          <w:kern w:val="0"/>
          <w:sz w:val="32"/>
          <w:szCs w:val="32"/>
        </w:rPr>
        <w:t xml:space="preserve"> </w:t>
      </w:r>
      <w:r>
        <w:rPr>
          <w:rFonts w:hint="default" w:ascii="Times New Roman" w:hAnsi="Times New Roman" w:eastAsia="方正仿宋_GBK" w:cs="Times New Roman"/>
          <w:sz w:val="32"/>
          <w:szCs w:val="32"/>
          <w:highlight w:val="none"/>
        </w:rPr>
        <w:t>各级财政和行业主管部门及其工作人员在衔接资金分配、使用管理等工作中，存在违反本办法规定，以及滥用职权、玩忽职守、徇私舞弊等违法违纪行为的,按照国家有关规定追究相应责任；涉嫌犯罪的，移送有关国家机关处理。</w:t>
      </w: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644" w:firstLineChars="200"/>
        <w:jc w:val="both"/>
        <w:textAlignment w:val="baseline"/>
        <w:rPr>
          <w:rFonts w:hint="default" w:ascii="Times New Roman" w:hAnsi="Times New Roman" w:eastAsia="仿宋_GB2312" w:cs="Times New Roman"/>
          <w:snapToGrid w:val="0"/>
          <w:color w:val="000000"/>
          <w:kern w:val="0"/>
          <w:sz w:val="32"/>
          <w:szCs w:val="32"/>
        </w:rPr>
      </w:pPr>
      <w:r>
        <w:rPr>
          <w:rFonts w:hint="default" w:ascii="Times New Roman" w:hAnsi="Times New Roman" w:eastAsia="仿宋_GB2312" w:cs="Times New Roman"/>
          <w:snapToGrid w:val="0"/>
          <w:color w:val="000000"/>
          <w:spacing w:val="1"/>
          <w:kern w:val="0"/>
          <w:sz w:val="32"/>
          <w:szCs w:val="32"/>
        </w:rPr>
        <w:t>第四章</w:t>
      </w:r>
      <w:r>
        <w:rPr>
          <w:rFonts w:hint="default" w:ascii="Times New Roman" w:hAnsi="Times New Roman" w:eastAsia="仿宋_GB2312" w:cs="Times New Roman"/>
          <w:snapToGrid w:val="0"/>
          <w:color w:val="000000"/>
          <w:spacing w:val="144"/>
          <w:kern w:val="0"/>
          <w:sz w:val="32"/>
          <w:szCs w:val="32"/>
        </w:rPr>
        <w:t xml:space="preserve"> </w:t>
      </w:r>
      <w:r>
        <w:rPr>
          <w:rFonts w:hint="default" w:ascii="Times New Roman" w:hAnsi="Times New Roman" w:eastAsia="仿宋_GB2312" w:cs="Times New Roman"/>
          <w:snapToGrid w:val="0"/>
          <w:color w:val="000000"/>
          <w:spacing w:val="1"/>
          <w:kern w:val="0"/>
          <w:sz w:val="32"/>
          <w:szCs w:val="32"/>
        </w:rPr>
        <w:t>附则</w:t>
      </w: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639" w:firstLineChars="200"/>
        <w:jc w:val="both"/>
        <w:textAlignment w:val="baseline"/>
        <w:rPr>
          <w:rFonts w:hint="default" w:ascii="Times New Roman" w:hAnsi="Times New Roman" w:eastAsia="仿宋_GB2312" w:cs="Times New Roman"/>
          <w:b/>
          <w:bCs/>
          <w:snapToGrid w:val="0"/>
          <w:color w:val="000000"/>
          <w:spacing w:val="-1"/>
          <w:kern w:val="0"/>
          <w:sz w:val="32"/>
          <w:szCs w:val="32"/>
        </w:rPr>
      </w:pPr>
      <w:r>
        <w:rPr>
          <w:rFonts w:hint="default" w:ascii="Times New Roman" w:hAnsi="Times New Roman" w:eastAsia="仿宋_GB2312" w:cs="Times New Roman"/>
          <w:b/>
          <w:bCs/>
          <w:snapToGrid w:val="0"/>
          <w:color w:val="000000"/>
          <w:spacing w:val="-1"/>
          <w:kern w:val="0"/>
          <w:sz w:val="32"/>
          <w:szCs w:val="32"/>
        </w:rPr>
        <w:t xml:space="preserve">第十七条 </w:t>
      </w:r>
      <w:r>
        <w:rPr>
          <w:rFonts w:hint="default" w:ascii="Times New Roman" w:hAnsi="Times New Roman" w:eastAsia="方正仿宋_GBK" w:cs="Times New Roman"/>
          <w:sz w:val="32"/>
          <w:szCs w:val="32"/>
          <w:highlight w:val="none"/>
        </w:rPr>
        <w:t>各地(州、市)财政部门可根据本办法制定实施细则，报自治区财政厅备案。</w:t>
      </w: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787" w:firstLineChars="200"/>
        <w:jc w:val="both"/>
        <w:textAlignment w:val="baseline"/>
        <w:rPr>
          <w:rFonts w:hint="default" w:ascii="Times New Roman" w:hAnsi="Times New Roman" w:eastAsia="方正仿宋_GBK" w:cs="Times New Roman"/>
          <w:sz w:val="32"/>
          <w:szCs w:val="32"/>
          <w:highlight w:val="none"/>
          <w:lang w:eastAsia="zh-CN"/>
        </w:rPr>
      </w:pPr>
      <w:r>
        <w:rPr>
          <w:rFonts w:hint="default" w:ascii="Times New Roman" w:hAnsi="Times New Roman" w:eastAsia="仿宋_GB2312" w:cs="Times New Roman"/>
          <w:b/>
          <w:bCs/>
          <w:snapToGrid w:val="0"/>
          <w:color w:val="000000"/>
          <w:spacing w:val="36"/>
          <w:kern w:val="0"/>
          <w:sz w:val="32"/>
          <w:szCs w:val="32"/>
        </w:rPr>
        <w:t>第十八条</w:t>
      </w:r>
      <w:r>
        <w:rPr>
          <w:rFonts w:hint="default" w:ascii="Times New Roman" w:hAnsi="Times New Roman" w:eastAsia="仿宋_GB2312" w:cs="Times New Roman"/>
          <w:snapToGrid w:val="0"/>
          <w:color w:val="000000"/>
          <w:spacing w:val="24"/>
          <w:kern w:val="0"/>
          <w:sz w:val="32"/>
          <w:szCs w:val="32"/>
        </w:rPr>
        <w:t xml:space="preserve"> </w:t>
      </w:r>
      <w:r>
        <w:rPr>
          <w:rFonts w:hint="default" w:ascii="Times New Roman" w:hAnsi="Times New Roman" w:eastAsia="方正仿宋_GBK" w:cs="Times New Roman"/>
          <w:sz w:val="32"/>
          <w:szCs w:val="32"/>
          <w:highlight w:val="none"/>
        </w:rPr>
        <w:t>本办法自2021年8月5日起施行，由自治区财政厅会同行业主管部门负责解释。《财政厅扶贫办发改委 民委农业厅林业厅畜牧厅关于印发&lt;新疆维吾尔自治区财政专项扶贫资金管理办法&gt;的通知》(新财扶〔2017〕32号)、《转发财政部国家民族委员会关于印发〈少数民族发展资金管 理办法的通知〉的通知》(新财扶〔2006〕7号)、《关于转 发财政部、国家林业局关于印发〈国有贫困林场扶贫资金管理 办法的通知〉的通知》(新财扶〔2005〕18号)、《财政厅林 业厅关于印发〈新疆维吾尔自治区国有贫困林场扶贫资金管理 办法实施细则〉的通知》(新财扶〔2006〕24号)同时废止。自治区其他有关财政专项扶贫资金管理的制度、办法及规定与本办法不符的，执行本办法</w:t>
      </w:r>
      <w:r>
        <w:rPr>
          <w:rFonts w:hint="default" w:ascii="Times New Roman" w:hAnsi="Times New Roman" w:eastAsia="方正仿宋_GBK" w:cs="Times New Roman"/>
          <w:sz w:val="32"/>
          <w:szCs w:val="32"/>
          <w:highlight w:val="none"/>
          <w:lang w:eastAsia="zh-CN"/>
        </w:rPr>
        <w:t>。</w:t>
      </w:r>
    </w:p>
    <w:p>
      <w:pPr>
        <w:pStyle w:val="2"/>
        <w:rPr>
          <w:rFonts w:hint="default" w:ascii="Times New Roman" w:hAnsi="Times New Roman" w:cs="Times New Roman"/>
          <w:lang w:eastAsia="zh-CN"/>
        </w:rPr>
      </w:pP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560" w:firstLineChars="200"/>
        <w:jc w:val="both"/>
        <w:textAlignment w:val="baseline"/>
        <w:rPr>
          <w:rFonts w:hint="default" w:ascii="Times New Roman" w:hAnsi="Times New Roman" w:eastAsia="方正小标宋简体" w:cs="Times New Roman"/>
          <w:color w:val="000000"/>
          <w:sz w:val="28"/>
          <w:szCs w:val="28"/>
        </w:rPr>
      </w:pPr>
      <w:r>
        <w:rPr>
          <w:rFonts w:hint="default" w:ascii="Times New Roman" w:hAnsi="Times New Roman" w:eastAsia="方正小标宋简体" w:cs="Times New Roman"/>
          <w:color w:val="000000"/>
          <w:sz w:val="28"/>
          <w:szCs w:val="28"/>
        </w:rPr>
        <w:t>政策文件二</w:t>
      </w:r>
    </w:p>
    <w:p>
      <w:pPr>
        <w:pStyle w:val="2"/>
        <w:rPr>
          <w:rFonts w:hint="default" w:ascii="Times New Roman" w:hAnsi="Times New Roman" w:cs="Times New Roman"/>
        </w:rPr>
      </w:pPr>
    </w:p>
    <w:p>
      <w:pPr>
        <w:keepNext w:val="0"/>
        <w:keepLines w:val="0"/>
        <w:pageBreakBefore w:val="0"/>
        <w:wordWrap/>
        <w:overflowPunct/>
        <w:topLinePunct w:val="0"/>
        <w:bidi w:val="0"/>
        <w:adjustRightInd w:val="0"/>
        <w:snapToGrid w:val="0"/>
        <w:spacing w:line="570" w:lineRule="exact"/>
        <w:ind w:right="0"/>
        <w:jc w:val="center"/>
        <w:rPr>
          <w:rFonts w:hint="default" w:ascii="Times New Roman" w:hAnsi="Times New Roman" w:eastAsia="方正小标宋_GBK" w:cs="Times New Roman"/>
          <w:color w:val="000000"/>
          <w:sz w:val="44"/>
          <w:szCs w:val="44"/>
        </w:rPr>
      </w:pPr>
      <w:r>
        <w:rPr>
          <w:rFonts w:hint="default" w:ascii="Times New Roman" w:hAnsi="Times New Roman" w:eastAsia="方正小标宋_GBK" w:cs="Times New Roman"/>
          <w:color w:val="000000"/>
          <w:sz w:val="44"/>
          <w:szCs w:val="44"/>
        </w:rPr>
        <w:t>财政专项扶贫资金绩效管理操作指南</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仿宋_GB2312" w:cs="Times New Roman"/>
          <w:color w:val="000000"/>
          <w:sz w:val="32"/>
          <w:szCs w:val="32"/>
        </w:rPr>
      </w:pP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为进一步推动扶贫项目资金绩效管理工作，提高扶贫项目资金使用效益，根据财政部办公厅、国务院扶贫办综合司、发展改革委办公厅、国家民委办公厅、农业农村部办公厅、林草局办公室联合印发的《财政专项扶贫资金绩效管理操作指南》（财办农〔2019〕68号），结合《新疆维吾尔自治区扶贫项目资金绩效管理办法》（新政办发〔2018〕143号）、《新疆维吾尔自治区县级扶贫项目资金绩效管理操作指南》（新财扶〔2018〕47号），以及自治区县级财政专项扶贫资金绩效管理实际，制定本操作指南。</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财政专项扶贫资金绩效管理，是指对使用财政专项扶贫资金的项目（包括统筹整合使用财政涉农资金）开展绩效目标管理、绩效运行监控、绩效评价及结果应用等全过程绩效管理工作。</w:t>
      </w:r>
    </w:p>
    <w:p>
      <w:pPr>
        <w:pStyle w:val="2"/>
        <w:rPr>
          <w:rFonts w:hint="default" w:ascii="Times New Roman" w:hAnsi="Times New Roman" w:eastAsia="方正仿宋_GBK" w:cs="Times New Roman"/>
          <w:sz w:val="32"/>
          <w:szCs w:val="32"/>
          <w:highlight w:val="none"/>
        </w:rPr>
      </w:pPr>
    </w:p>
    <w:p>
      <w:pPr>
        <w:rPr>
          <w:rFonts w:hint="default"/>
        </w:rPr>
      </w:pP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第一节 绩效目标设定</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一、绩效目标设定程序</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预算资金申请单位根据县级脱贫攻坚规划和资源稟赋，精准谋划扶贫项目，在申报扶贫项目时，同步编报绩效目标。同时，按照县级预算编制规定和要求、脱贫攻坚规划等，科学合理测算扶贫项目资金需求，设定扶贫项目资金绩效目标，未明确绩效目标的项目不得纳入县级脱贫攻坚项目库。</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按照“村申报、乡审核、县审定”的扶贫项目申报程序，村级或者乡镇需要向预算资金申请单位提供绩效目标相关信息，行业部门要加强对扶贫项目资金绩效目标论证审核，确保扶贫项目资金绩效目标科学、准确、合理。</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二、绩效目标设定要求</w:t>
      </w:r>
    </w:p>
    <w:p>
      <w:pPr>
        <w:keepNext w:val="0"/>
        <w:keepLines w:val="0"/>
        <w:pageBreakBefore w:val="0"/>
        <w:wordWrap/>
        <w:overflowPunct/>
        <w:topLinePunct w:val="0"/>
        <w:bidi w:val="0"/>
        <w:adjustRightInd w:val="0"/>
        <w:snapToGrid w:val="0"/>
        <w:spacing w:line="570" w:lineRule="exact"/>
        <w:ind w:left="0" w:right="0" w:firstLine="643" w:firstLineChars="200"/>
        <w:jc w:val="both"/>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color w:val="000000"/>
          <w:sz w:val="32"/>
          <w:szCs w:val="32"/>
        </w:rPr>
        <w:t>1.指向明确。</w:t>
      </w:r>
      <w:r>
        <w:rPr>
          <w:rFonts w:hint="default" w:ascii="Times New Roman" w:hAnsi="Times New Roman" w:eastAsia="方正仿宋_GBK" w:cs="Times New Roman"/>
          <w:sz w:val="32"/>
          <w:szCs w:val="32"/>
          <w:highlight w:val="none"/>
        </w:rPr>
        <w:t>扶贫项目资金绩效目标与预算资金申请单位的工作职责、脱贫攻坚任务紧密相关，清晰反映项目的核心产出和效果，力求精简准确、重点突出。</w:t>
      </w:r>
    </w:p>
    <w:p>
      <w:pPr>
        <w:keepNext w:val="0"/>
        <w:keepLines w:val="0"/>
        <w:pageBreakBefore w:val="0"/>
        <w:wordWrap/>
        <w:overflowPunct/>
        <w:topLinePunct w:val="0"/>
        <w:bidi w:val="0"/>
        <w:adjustRightInd w:val="0"/>
        <w:snapToGrid w:val="0"/>
        <w:spacing w:line="570" w:lineRule="exact"/>
        <w:ind w:left="0" w:right="0" w:firstLine="643" w:firstLineChars="200"/>
        <w:jc w:val="both"/>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color w:val="000000"/>
          <w:sz w:val="32"/>
          <w:szCs w:val="32"/>
        </w:rPr>
        <w:t>2.实化量化。</w:t>
      </w:r>
      <w:r>
        <w:rPr>
          <w:rFonts w:hint="default" w:ascii="Times New Roman" w:hAnsi="Times New Roman" w:eastAsia="方正仿宋_GBK" w:cs="Times New Roman"/>
          <w:sz w:val="32"/>
          <w:szCs w:val="32"/>
          <w:highlight w:val="none"/>
        </w:rPr>
        <w:t>绩效目标应细化量化为绩效指标（绩效目标一般是指预期达到的产出和效果，采用定性方式进行概括描述；绩效指标是对年度目标的细化和量化，包括指标内容及指标值），绩效指标应尽量进行定量表述，量化数据应易于获取。不能以量化形式表述的，可采用定性表述，但要具有可衡量性。</w:t>
      </w:r>
    </w:p>
    <w:p>
      <w:pPr>
        <w:keepNext w:val="0"/>
        <w:keepLines w:val="0"/>
        <w:pageBreakBefore w:val="0"/>
        <w:wordWrap/>
        <w:overflowPunct/>
        <w:topLinePunct w:val="0"/>
        <w:bidi w:val="0"/>
        <w:adjustRightInd w:val="0"/>
        <w:snapToGrid w:val="0"/>
        <w:spacing w:line="570" w:lineRule="exact"/>
        <w:ind w:left="0" w:right="0" w:firstLine="643" w:firstLineChars="200"/>
        <w:jc w:val="both"/>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color w:val="000000"/>
          <w:sz w:val="32"/>
          <w:szCs w:val="32"/>
        </w:rPr>
        <w:t>3.合理可行。</w:t>
      </w:r>
      <w:r>
        <w:rPr>
          <w:rFonts w:hint="default" w:ascii="Times New Roman" w:hAnsi="Times New Roman" w:eastAsia="方正仿宋_GBK" w:cs="Times New Roman"/>
          <w:sz w:val="32"/>
          <w:szCs w:val="32"/>
          <w:highlight w:val="none"/>
        </w:rPr>
        <w:t>绩效目标应符合客观实际，综合考虑成本和效益对比，能够在期限内如期实现。绩效目标应与计划期内的任务数或计划数相对应，与预算确定的投资额或资金量相匹配。绩效目标应具有可行性，对完成任务目标具有约束力，不宜过高或过低。</w:t>
      </w:r>
    </w:p>
    <w:p>
      <w:pPr>
        <w:keepNext w:val="0"/>
        <w:keepLines w:val="0"/>
        <w:pageBreakBefore w:val="0"/>
        <w:wordWrap/>
        <w:overflowPunct/>
        <w:topLinePunct w:val="0"/>
        <w:bidi w:val="0"/>
        <w:adjustRightInd w:val="0"/>
        <w:snapToGrid w:val="0"/>
        <w:spacing w:line="570" w:lineRule="exact"/>
        <w:ind w:left="0" w:right="0" w:firstLine="643" w:firstLineChars="200"/>
        <w:jc w:val="both"/>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color w:val="000000"/>
          <w:sz w:val="32"/>
          <w:szCs w:val="32"/>
        </w:rPr>
        <w:t>4.聚焦精准。</w:t>
      </w:r>
      <w:r>
        <w:rPr>
          <w:rFonts w:hint="default" w:ascii="Times New Roman" w:hAnsi="Times New Roman" w:eastAsia="方正仿宋_GBK" w:cs="Times New Roman"/>
          <w:sz w:val="32"/>
          <w:szCs w:val="32"/>
          <w:highlight w:val="none"/>
        </w:rPr>
        <w:t>扶贫项目资金绩效目标应体现建档立卡贫困人口受益程度，准确反映带动贫困人口数和贫困人口收入增加情况，以及脱贫攻坚项目库建设情况，项目资金拨付情况等。</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三、绩效目标填报参考模板</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预算资金申请单位根据扶贫项目实施内容和预期产生效益情况，参照扶贫项目资金绩效目标申报模板（见附件2-1、2-2、2-3、2-4、2-5)编报扶贫项目资金绩效目标申报表（见附件3-1)，具体填报内容可参考填报说明（见附件3-2），。县级扶贫开发领导小组，可根据县域实际情况，组织相关行业部门对绩效目标模板进行修改、完善，形成适合本县实际情况的绩效目标框架。</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第二节 绩效目标审核</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一、绩效目标审核程序</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县级财政部门牵头，会同扶贫部门及行业主管部门，在年度预算编制环节，依据国家相关政策及脱贫攻坚规划，组织对预算资金申请单位编报的扶贫项目资金绩效目标进行审核（可委托第三方或绩效目标审核专家参与评审），审核结果报县级扶贫开发领导小组审定，作为预算安排或资金分配的重要依据。</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每年11月底前根据脱贫攻坚工作任务和提前下达到县的资金额度，从项目库中择优选择相关项目，编制下一年度项目计划。纳入年度项目计划的项目由预算资金申请单位及项目主管部门编制绩效目标，进行预算申报，财政部门对预算资金规模和绩效目标进行审核并安排预算。贫困县要做好与财政涉农资金统筹整合方案的衔接。</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二、绩效目标审核要求</w:t>
      </w:r>
    </w:p>
    <w:p>
      <w:pPr>
        <w:keepNext w:val="0"/>
        <w:keepLines w:val="0"/>
        <w:pageBreakBefore w:val="0"/>
        <w:wordWrap/>
        <w:overflowPunct/>
        <w:topLinePunct w:val="0"/>
        <w:bidi w:val="0"/>
        <w:adjustRightInd w:val="0"/>
        <w:snapToGrid w:val="0"/>
        <w:spacing w:line="570" w:lineRule="exact"/>
        <w:ind w:left="0" w:right="0" w:firstLine="643" w:firstLineChars="200"/>
        <w:jc w:val="both"/>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color w:val="000000"/>
          <w:sz w:val="32"/>
          <w:szCs w:val="32"/>
        </w:rPr>
        <w:t>1.合规性审核。</w:t>
      </w:r>
      <w:r>
        <w:rPr>
          <w:rFonts w:hint="default" w:ascii="Times New Roman" w:hAnsi="Times New Roman" w:eastAsia="方正仿宋_GBK" w:cs="Times New Roman"/>
          <w:sz w:val="32"/>
          <w:szCs w:val="32"/>
          <w:highlight w:val="none"/>
        </w:rPr>
        <w:t>具体包括扶贫项目是否符合财政专项扶贫资金支持范围。财政专项扶贫资金支持范围依照各级财政专项扶贫资金管理办法执行。如中央财政专项扶贫资金支持贫困地区围绕培育和壮大特色产业、改善小型公益性生产生活设施条件、增强贫困人口自我发展能力和抵御风险能力、“雨露计划”等方面。</w:t>
      </w:r>
    </w:p>
    <w:p>
      <w:pPr>
        <w:keepNext w:val="0"/>
        <w:keepLines w:val="0"/>
        <w:pageBreakBefore w:val="0"/>
        <w:wordWrap/>
        <w:overflowPunct/>
        <w:topLinePunct w:val="0"/>
        <w:bidi w:val="0"/>
        <w:adjustRightInd w:val="0"/>
        <w:snapToGrid w:val="0"/>
        <w:spacing w:line="570" w:lineRule="exact"/>
        <w:ind w:left="0" w:right="0" w:firstLine="643" w:firstLineChars="200"/>
        <w:jc w:val="both"/>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color w:val="000000"/>
          <w:sz w:val="32"/>
          <w:szCs w:val="32"/>
        </w:rPr>
        <w:t>2.完整性审核。</w:t>
      </w:r>
      <w:r>
        <w:rPr>
          <w:rFonts w:hint="default" w:ascii="Times New Roman" w:hAnsi="Times New Roman" w:eastAsia="方正仿宋_GBK" w:cs="Times New Roman"/>
          <w:sz w:val="32"/>
          <w:szCs w:val="32"/>
          <w:highlight w:val="none"/>
        </w:rPr>
        <w:t>具体包括规范完整性和明确清晰性。其中规范完整性重点审核绩效目标填报格式是否规范，内容是否完整、准确、详实，是否缺项、错项（如缺少项目资金情况、定量指标缺少指标值、年度目标未填写、金额单位不一致等）；明确清晰性重点审核绩效目标是否能够反映项目主要情况，是否对项目预期产出和效果进行了充分、恰当的描述。</w:t>
      </w:r>
    </w:p>
    <w:p>
      <w:pPr>
        <w:keepNext w:val="0"/>
        <w:keepLines w:val="0"/>
        <w:pageBreakBefore w:val="0"/>
        <w:wordWrap/>
        <w:overflowPunct/>
        <w:topLinePunct w:val="0"/>
        <w:bidi w:val="0"/>
        <w:adjustRightInd w:val="0"/>
        <w:snapToGrid w:val="0"/>
        <w:spacing w:line="570" w:lineRule="exact"/>
        <w:ind w:left="0" w:right="0" w:firstLine="643" w:firstLineChars="200"/>
        <w:jc w:val="both"/>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3.相关性审核。</w:t>
      </w:r>
      <w:r>
        <w:rPr>
          <w:rFonts w:hint="default" w:ascii="Times New Roman" w:hAnsi="Times New Roman" w:eastAsia="方正仿宋_GBK" w:cs="Times New Roman"/>
          <w:sz w:val="32"/>
          <w:szCs w:val="32"/>
          <w:highlight w:val="none"/>
        </w:rPr>
        <w:t>具体包括目标相关性和指标科学性。其中目标相关性重点审核绩效目标与部门（单位）职能以及县级脱贫攻坚规划是否密切相关；指标科学性重点审核绩效指标是否全面、充分、细化、量化，难以量化的，定性描述是否充分、具体；是否选取了最能体现总体目标实现程度的关键指标并明确了具体指标值。</w:t>
      </w:r>
    </w:p>
    <w:p>
      <w:pPr>
        <w:keepNext w:val="0"/>
        <w:keepLines w:val="0"/>
        <w:pageBreakBefore w:val="0"/>
        <w:wordWrap/>
        <w:overflowPunct/>
        <w:topLinePunct w:val="0"/>
        <w:bidi w:val="0"/>
        <w:adjustRightInd w:val="0"/>
        <w:snapToGrid w:val="0"/>
        <w:spacing w:line="570" w:lineRule="exact"/>
        <w:ind w:left="0" w:right="0" w:firstLine="643" w:firstLineChars="200"/>
        <w:jc w:val="both"/>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color w:val="000000"/>
          <w:sz w:val="32"/>
          <w:szCs w:val="32"/>
        </w:rPr>
        <w:t>4.适当性审核。</w:t>
      </w:r>
      <w:r>
        <w:rPr>
          <w:rFonts w:hint="default" w:ascii="Times New Roman" w:hAnsi="Times New Roman" w:eastAsia="方正仿宋_GBK" w:cs="Times New Roman"/>
          <w:sz w:val="32"/>
          <w:szCs w:val="32"/>
          <w:highlight w:val="none"/>
        </w:rPr>
        <w:t>具体包括绩效合理性和资金匹配性。其中绩效合理性重点审核预期绩效是否显著，是否符合行业正常水平或事业发展规律；资金匹配性重点审核绩效目标与项目资金量、使用方向等是否匹配，在既定资金规模下，绩效目标是否过高或过低；或要完成既定绩效目标，资金规模是否过大或过小。</w:t>
      </w:r>
    </w:p>
    <w:p>
      <w:pPr>
        <w:keepNext w:val="0"/>
        <w:keepLines w:val="0"/>
        <w:pageBreakBefore w:val="0"/>
        <w:wordWrap/>
        <w:overflowPunct/>
        <w:topLinePunct w:val="0"/>
        <w:bidi w:val="0"/>
        <w:adjustRightInd w:val="0"/>
        <w:snapToGrid w:val="0"/>
        <w:spacing w:line="570" w:lineRule="exact"/>
        <w:ind w:left="0" w:right="0" w:firstLine="643" w:firstLineChars="200"/>
        <w:jc w:val="both"/>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color w:val="000000"/>
          <w:sz w:val="32"/>
          <w:szCs w:val="32"/>
        </w:rPr>
        <w:t>5.可行性审核。</w:t>
      </w:r>
      <w:r>
        <w:rPr>
          <w:rFonts w:hint="default" w:ascii="Times New Roman" w:hAnsi="Times New Roman" w:eastAsia="方正仿宋_GBK" w:cs="Times New Roman"/>
          <w:sz w:val="32"/>
          <w:szCs w:val="32"/>
          <w:highlight w:val="none"/>
        </w:rPr>
        <w:t>具体包括实现可能性和条件充分性。其中实现可能性重点关注绩效目标是否经过充分调查研究、论证和合理测算，实现的可能性是否充分；条件充分性重点关注项目实施方案是否合理，项目实施单位的组织实施能力和条件是否充分，内部控制是否规范，风险防控是否准备到位,管理制度是否健全。</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三、绩效目标审核参考模板</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绩效目标审核内容及分值确定见参考模板（详见附件3-3）。各县可根据实际情况，在遵循总体要求的前提下，对绩效目标审核表进行修改、完善，形成符合本县实际的绩效目标审核表。</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四、绩效目标审核结果</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绩效目标审核结果分为“通过”“不通过”两个等次。其中，审核得分在85分及以上的为“通过”，可直接安排预算；85分以下的为“不通过”，报经县级扶贫开发领导小组审批后退回部门，对项目绩效目标进行完善后，重新申报预算。审核通过并安排预算的扶贫项目，预算资金申请单位要将扶贫项目资金绩效目标报送县级扶贫开发领导小组备案，并编入本部门预算依法予以公开。</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第三节 绩效目标批复</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一、绩效目标批复</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纳入年初预算的扶贫项目经县人代会批准后，县级财政部门应于20日内将扶贫项目资金绩效目标随同部门预算一同批复至预算资金申请单位。年度中间，县级收到上级转移支付和本级预算追加的财政专项扶贫资金，按照相关程序批复绩效目标，并随同资金指标一同下达。县级财政部门应当将批复扶贫项目资金绩效目标按照规定程序报送地州市级、自治区级财政和扶贫部门备案。</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二、绩效目标调整</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扶贫项目资金绩效目标批复后，原则上不作调整。预算执行中因特殊原因确需调整的，按规定程序办理。</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三、绩效目标公开</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预算资金申请单位应在收到批复后20日内将扶贫项目资金绩效目标在政府网站进行公开。</w:t>
      </w:r>
    </w:p>
    <w:p>
      <w:pPr>
        <w:pStyle w:val="2"/>
        <w:rPr>
          <w:rFonts w:hint="default" w:ascii="Times New Roman" w:hAnsi="Times New Roman" w:eastAsia="方正仿宋_GBK" w:cs="Times New Roman"/>
          <w:sz w:val="32"/>
          <w:szCs w:val="32"/>
          <w:highlight w:val="none"/>
        </w:rPr>
      </w:pPr>
    </w:p>
    <w:p>
      <w:pPr>
        <w:rPr>
          <w:rFonts w:hint="default" w:ascii="Times New Roman" w:hAnsi="Times New Roman" w:eastAsia="方正仿宋_GBK" w:cs="Times New Roman"/>
          <w:sz w:val="32"/>
          <w:szCs w:val="32"/>
          <w:highlight w:val="none"/>
        </w:rPr>
      </w:pPr>
    </w:p>
    <w:p>
      <w:pPr>
        <w:pStyle w:val="2"/>
        <w:rPr>
          <w:rFonts w:hint="default"/>
        </w:rPr>
      </w:pP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第四节 绩效运行监控</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一、绩效运行监控程序及要求</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预算执行中，预算资金申请单位应实时对本年度实施的扶贫项目进行跟踪监控，重点对项目预算和绩效运行情况进行跟踪分析；县级扶贫、财政部门应对重点项目或重点区域资金进行监控。</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二、绩效运行监控参考模板</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仿宋_GB2312" w:cs="Times New Roman"/>
          <w:color w:val="000000"/>
          <w:sz w:val="32"/>
          <w:szCs w:val="32"/>
        </w:rPr>
      </w:pPr>
      <w:r>
        <w:rPr>
          <w:rFonts w:hint="default" w:ascii="Times New Roman" w:hAnsi="Times New Roman" w:eastAsia="方正仿宋_GBK" w:cs="Times New Roman"/>
          <w:sz w:val="32"/>
          <w:szCs w:val="32"/>
          <w:highlight w:val="none"/>
        </w:rPr>
        <w:t>在绩效运行监控过程中，预算资金申请单位每年定期组织项目实施单位开展绩效运行监控工作，如实准确填报绩效运行监控表（见附件4-1)，具体填报内容可参考填报说明（见附件4-2）。各县可根据实际情况，在遵循总体要求的前提下，对绩效运行监控形式、方式、频次、扶贫项目比例等进行设定，形成符合当地实际的绩效运行监控模式。</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三、 绩效运行监控结果</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预算资金申请单位应及时将扶贫资金项目绩效运行监控结果报送扶贫、财政部门，县级扶贫、财政部门要加强监控结果应用，对项目资金实际执行与绩效目标偏离较大的，要求预算资金申请单位及时予以纠正。问题严重的，县级财政部门应当及时收回或暂缓拨付财政资金。</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第五节  绩效评价</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一、绩效自评</w:t>
      </w:r>
    </w:p>
    <w:p>
      <w:pPr>
        <w:keepNext w:val="0"/>
        <w:keepLines w:val="0"/>
        <w:pageBreakBefore w:val="0"/>
        <w:wordWrap/>
        <w:overflowPunct/>
        <w:topLinePunct w:val="0"/>
        <w:bidi w:val="0"/>
        <w:adjustRightInd w:val="0"/>
        <w:snapToGrid w:val="0"/>
        <w:spacing w:line="570" w:lineRule="exact"/>
        <w:ind w:left="0" w:right="0" w:firstLine="643" w:firstLineChars="200"/>
        <w:jc w:val="both"/>
        <w:rPr>
          <w:rFonts w:hint="default" w:ascii="Times New Roman" w:hAnsi="Times New Roman" w:eastAsia="楷体_GB2312" w:cs="Times New Roman"/>
          <w:b/>
          <w:color w:val="000000"/>
          <w:sz w:val="32"/>
          <w:szCs w:val="32"/>
        </w:rPr>
      </w:pPr>
      <w:r>
        <w:rPr>
          <w:rFonts w:hint="default" w:ascii="Times New Roman" w:hAnsi="Times New Roman" w:eastAsia="楷体_GB2312" w:cs="Times New Roman"/>
          <w:b/>
          <w:color w:val="000000"/>
          <w:sz w:val="32"/>
          <w:szCs w:val="32"/>
        </w:rPr>
        <w:t>（一）绩效自评程序及要求。</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扶贫项目实施完成后，预算资金申请单位应及时组织项目实施单位开展绩效自评，年度预算执行终了，应完成对本年度所有实施的项目绩效自评（对跨年度的重大扶贫项目，要开展阶段性评价，实现全周期跟踪绩效评价），预算资金申请单位对自评结果负主体责任。</w:t>
      </w:r>
    </w:p>
    <w:p>
      <w:pPr>
        <w:keepNext w:val="0"/>
        <w:keepLines w:val="0"/>
        <w:pageBreakBefore w:val="0"/>
        <w:wordWrap/>
        <w:overflowPunct/>
        <w:topLinePunct w:val="0"/>
        <w:bidi w:val="0"/>
        <w:adjustRightInd w:val="0"/>
        <w:snapToGrid w:val="0"/>
        <w:spacing w:line="570" w:lineRule="exact"/>
        <w:ind w:left="0" w:right="0" w:firstLine="643" w:firstLineChars="200"/>
        <w:jc w:val="both"/>
        <w:rPr>
          <w:rFonts w:hint="default" w:ascii="Times New Roman" w:hAnsi="Times New Roman" w:eastAsia="楷体_GB2312" w:cs="Times New Roman"/>
          <w:b/>
          <w:color w:val="000000"/>
          <w:sz w:val="32"/>
          <w:szCs w:val="32"/>
        </w:rPr>
      </w:pPr>
      <w:r>
        <w:rPr>
          <w:rFonts w:hint="default" w:ascii="Times New Roman" w:hAnsi="Times New Roman" w:eastAsia="楷体_GB2312" w:cs="Times New Roman"/>
          <w:b/>
          <w:color w:val="000000"/>
          <w:sz w:val="32"/>
          <w:szCs w:val="32"/>
        </w:rPr>
        <w:t>（二）绩效自评参考模板。</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预算资金申请单位应根据批复的项目绩效目标，填报项目绩效目标自评表（见附件5-1)，并认真总结形成本单位财政专项扶贫资金绩效自评总结报告。各县可根据实际情况，在遵循总体要求的前提下，对绩效目标自评内容、模板及方式等进行完善，形成符合本县实际情况的绩效自评模式。</w:t>
      </w:r>
    </w:p>
    <w:p>
      <w:pPr>
        <w:keepNext w:val="0"/>
        <w:keepLines w:val="0"/>
        <w:pageBreakBefore w:val="0"/>
        <w:wordWrap/>
        <w:overflowPunct/>
        <w:topLinePunct w:val="0"/>
        <w:bidi w:val="0"/>
        <w:adjustRightInd w:val="0"/>
        <w:snapToGrid w:val="0"/>
        <w:spacing w:line="570" w:lineRule="exact"/>
        <w:ind w:left="0" w:right="0" w:firstLine="643" w:firstLineChars="200"/>
        <w:jc w:val="both"/>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1.绩效自评表填报注意事项：</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(1)一级指标分值设置为：产出指标50分、效益指标30分、满意度指标10分、预算资金执行率10分，上述权重可根据项目实际情况进行适当调整，但加总后应等于100分。预算资金申请单位可根据各项指标重要程度确定三级指标的分值。得分最高不能超过该指标分值上限。</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(2)定性指标根据指标完成情况分为：达成预期指标、部分达成预期指标并具有一定效果、未达成预期指标且效果较差三档，分别按照该指标对应分值区间100%-80%(含80%)、80%-60%(含60%)、60%-0%合理确定得分。</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(3)定量指标若为正向指标（即指标值为&gt;*) , 则得分计算方法应用全年实际值/年度指标值*该指标分值；若定量指标为反向指标（即指标值为&lt;*)，则得分计算方法应用年度指标值/全年实际值*该指标分值；定量指标得分最高不得超过该指标分值上限。</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2.绩效自评报告：预算资金申请单位应根据扶贫项目资金绩效目标自评表及项目绩效支撑材料，形成本单位财政专项扶贫资金绩效自评总结报告。报告内容应包括绩效目标分解下达情况、绩效自评工作开展情况、绩效目标自评完成情况分析、偏离绩效目标的原因和下一步改进措施、绩效自评结果拟应用和公开情况等内容。（参考提纲见附件5-2）</w:t>
      </w:r>
    </w:p>
    <w:p>
      <w:pPr>
        <w:keepNext w:val="0"/>
        <w:keepLines w:val="0"/>
        <w:pageBreakBefore w:val="0"/>
        <w:wordWrap/>
        <w:overflowPunct/>
        <w:topLinePunct w:val="0"/>
        <w:bidi w:val="0"/>
        <w:adjustRightInd w:val="0"/>
        <w:snapToGrid w:val="0"/>
        <w:spacing w:line="570" w:lineRule="exact"/>
        <w:ind w:left="0" w:right="0" w:firstLine="643" w:firstLineChars="200"/>
        <w:jc w:val="both"/>
        <w:rPr>
          <w:rFonts w:hint="default" w:ascii="Times New Roman" w:hAnsi="Times New Roman" w:eastAsia="楷体_GB2312" w:cs="Times New Roman"/>
          <w:b/>
          <w:color w:val="000000"/>
          <w:sz w:val="32"/>
          <w:szCs w:val="32"/>
        </w:rPr>
      </w:pPr>
      <w:r>
        <w:rPr>
          <w:rFonts w:hint="default" w:ascii="Times New Roman" w:hAnsi="Times New Roman" w:eastAsia="楷体_GB2312" w:cs="Times New Roman"/>
          <w:b/>
          <w:color w:val="000000"/>
          <w:sz w:val="32"/>
          <w:szCs w:val="32"/>
        </w:rPr>
        <w:t>（三）绩效自评抽查。</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在预算资金申请单位全面绩效自评基础上，县级财政牵头，会同扶贫部门及审计部门，对预算资金申请单位绩效自评结果进行抽查，抽查项目数量覆盖面不低于10%。抽查主要围绕绩效自评结果真实性、全面性、合理性等方面开展，并将抽查结果及时反馈至预算资金申请单位并督促整改。</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二、绩效评价</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县级扶贫部门牵头，会同财政部门根据实际需要，每年选择重点扶贫项目和重点区域资金组织开展绩效评价（可采取委托第三方形式），形成绩效评价报告。每年绩效评价时，要抽取部分以前年度扶贫项目，对其进行持续跟踪评价，重点关注扶贫项目资金效益指标和满意度指标的持续效益。其中，经营性扶贫项目重点评价其带贫减贫、收益分配、保值增值和风险管控等；公益性扶贫项目重点评价其带动效应和运营管护情况等。</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第六节  绩效评价结果应用</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一、结果应用</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1.县级财政部门、扶贫部门应将绩效自评抽查结果、绩效评价结果等及时报县级扶贫开发领导小组，作为脱贫攻坚决策和分配财政专项扶贫资金的重要参考依据。</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2.绩效自评抽查结果以及重点绩效评价结果应当作为预算资金申请单位改进管理、调整财政支出方向、安排以后年度预算的重要参考依据。</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二、结果公开</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1.预算资金申请单位要将绩效自评结果编入本部门决算并依法予以公开。</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方正仿宋_GBK" w:cs="Times New Roman"/>
          <w:sz w:val="32"/>
          <w:szCs w:val="32"/>
          <w:highlight w:val="none"/>
        </w:rPr>
        <w:t>2.县级财政部门要将重点绩效评价结果编入本级决算并依法予以公开。</w:t>
      </w:r>
    </w:p>
    <w:p>
      <w:pPr>
        <w:pStyle w:val="7"/>
        <w:rPr>
          <w:rFonts w:hint="default" w:ascii="Times New Roman" w:hAnsi="Times New Roman" w:eastAsia="方正小标宋_GBK" w:cs="Times New Roman"/>
          <w:sz w:val="32"/>
          <w:szCs w:val="32"/>
          <w:highlight w:val="none"/>
          <w:lang w:val="en-US" w:eastAsia="zh-Hans"/>
        </w:rPr>
      </w:pPr>
    </w:p>
    <w:p>
      <w:pPr>
        <w:pStyle w:val="7"/>
        <w:rPr>
          <w:rFonts w:hint="default" w:ascii="Times New Roman" w:hAnsi="Times New Roman" w:eastAsia="方正小标宋_GBK" w:cs="Times New Roman"/>
          <w:sz w:val="32"/>
          <w:szCs w:val="32"/>
          <w:highlight w:val="none"/>
          <w:lang w:val="en-US" w:eastAsia="zh-Hans"/>
        </w:rPr>
      </w:pPr>
    </w:p>
    <w:p>
      <w:pPr>
        <w:widowControl w:val="0"/>
        <w:numPr>
          <w:ilvl w:val="0"/>
          <w:numId w:val="6"/>
        </w:numPr>
        <w:spacing w:line="600" w:lineRule="exact"/>
        <w:ind w:firstLine="0" w:firstLineChars="0"/>
        <w:jc w:val="center"/>
        <w:outlineLvl w:val="9"/>
        <w:rPr>
          <w:rFonts w:hint="default" w:ascii="Times New Roman" w:hAnsi="Times New Roman" w:cs="Times New Roman"/>
          <w:lang w:val="en-US" w:eastAsia="zh-Hans"/>
        </w:rPr>
      </w:pPr>
      <w:r>
        <w:rPr>
          <w:rFonts w:hint="default" w:ascii="Times New Roman" w:hAnsi="Times New Roman" w:eastAsia="方正黑体_GBK" w:cs="Times New Roman"/>
          <w:kern w:val="0"/>
          <w:sz w:val="36"/>
          <w:szCs w:val="36"/>
          <w:highlight w:val="none"/>
          <w:lang w:val="en-US" w:eastAsia="zh-Hans"/>
        </w:rPr>
        <w:t>本级汇总的预算绩效情况说明</w:t>
      </w:r>
    </w:p>
    <w:p>
      <w:pPr>
        <w:pStyle w:val="2"/>
        <w:rPr>
          <w:rFonts w:hint="default" w:ascii="Times New Roman" w:hAnsi="Times New Roman" w:cs="Times New Roman"/>
          <w:lang w:val="en-US" w:eastAsia="zh-Hans"/>
        </w:rPr>
      </w:pPr>
    </w:p>
    <w:p>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Times New Roman" w:hAnsi="Times New Roman" w:eastAsia="方正仿宋_GBK" w:cs="Times New Roman"/>
          <w:b/>
          <w:bCs/>
          <w:color w:val="auto"/>
          <w:sz w:val="32"/>
          <w:szCs w:val="32"/>
          <w:highlight w:val="none"/>
          <w:lang w:val="en-US" w:eastAsia="zh-CN"/>
        </w:rPr>
      </w:pPr>
      <w:r>
        <w:rPr>
          <w:rFonts w:hint="default" w:ascii="Times New Roman" w:hAnsi="Times New Roman" w:eastAsia="方正仿宋_GBK" w:cs="Times New Roman"/>
          <w:b/>
          <w:bCs/>
          <w:color w:val="auto"/>
          <w:sz w:val="32"/>
          <w:szCs w:val="32"/>
          <w:highlight w:val="none"/>
          <w:lang w:val="en-US" w:eastAsia="zh-CN"/>
        </w:rPr>
        <w:t>中共泽普县委、县人民政府：</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仿宋_GB2312" w:cs="Times New Roman"/>
          <w:color w:val="000000"/>
          <w:sz w:val="32"/>
          <w:szCs w:val="32"/>
          <w:lang w:val="en-US" w:eastAsia="zh-CN"/>
        </w:rPr>
      </w:pPr>
      <w:r>
        <w:rPr>
          <w:rFonts w:hint="default" w:ascii="Times New Roman" w:hAnsi="Times New Roman" w:eastAsia="方正仿宋_GBK" w:cs="Times New Roman"/>
          <w:sz w:val="32"/>
          <w:szCs w:val="32"/>
          <w:highlight w:val="none"/>
          <w:lang w:val="en-US" w:eastAsia="zh-CN"/>
        </w:rPr>
        <w:t>为全面推进预算绩效管理，建立健全绩效评价机制，服务预算编制及预算执行，有效推动财政资金聚力增效，提高泽普县公共服务供给质量，增强政府公信力和执行力，进一步发挥绩效评价对财政预算资金使用管理的导向和激励作用。按照《自治区党委 自治区人民政府关于全面实施预算绩效管理的实施意见》（新党发〔2018〕30号）文件要求，泽普县全力推进预算绩效管理工作。现将泽普县2025年度全面实施预算绩效管理工作情况汇报如下：</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lang w:val="en-US" w:eastAsia="zh-CN"/>
        </w:rPr>
      </w:pPr>
      <w:r>
        <w:rPr>
          <w:rFonts w:hint="default" w:ascii="Times New Roman" w:hAnsi="Times New Roman" w:eastAsia="黑体" w:cs="Times New Roman"/>
          <w:color w:val="000000"/>
          <w:sz w:val="32"/>
          <w:szCs w:val="32"/>
          <w:lang w:val="en-US" w:eastAsia="zh-CN"/>
        </w:rPr>
        <w:t>一、总体工作开展情况</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2025年泽普县在全面实施预算绩效管理工作方面取得了显著进展，通过不断完善制度、加强监控、强化评价等一系列措施，有效提高了财政资金的使用效益和管理水平。依据上级相关政策要求和本县实际情况，进一步细化和完善了预算绩效管理制度，明确了各部门在预算绩效管理中的职责和工作流程，为全面实施预算绩效管理提供了坚实的制度保障。通过全面实施预算绩效管理，将财政支出全部纳入绩效管理范围。</w:t>
      </w:r>
    </w:p>
    <w:p>
      <w:pPr>
        <w:keepNext w:val="0"/>
        <w:keepLines w:val="0"/>
        <w:pageBreakBefore w:val="0"/>
        <w:widowControl w:val="0"/>
        <w:kinsoku/>
        <w:wordWrap/>
        <w:overflowPunct/>
        <w:topLinePunct w:val="0"/>
        <w:autoSpaceDE/>
        <w:autoSpaceDN/>
        <w:bidi w:val="0"/>
        <w:adjustRightInd/>
        <w:snapToGrid/>
        <w:spacing w:line="570" w:lineRule="exact"/>
        <w:ind w:firstLine="643" w:firstLineChars="200"/>
        <w:textAlignment w:val="auto"/>
        <w:rPr>
          <w:rFonts w:hint="default" w:ascii="Times New Roman" w:hAnsi="Times New Roman" w:eastAsia="楷体_GB2312" w:cs="Times New Roman"/>
          <w:b/>
          <w:color w:val="000000"/>
          <w:sz w:val="32"/>
          <w:szCs w:val="32"/>
          <w:lang w:val="en-US" w:eastAsia="zh-CN"/>
        </w:rPr>
      </w:pPr>
      <w:r>
        <w:rPr>
          <w:rFonts w:hint="default" w:ascii="Times New Roman" w:hAnsi="Times New Roman" w:eastAsia="楷体_GB2312" w:cs="Times New Roman"/>
          <w:b/>
          <w:color w:val="000000"/>
          <w:sz w:val="32"/>
          <w:szCs w:val="32"/>
          <w:lang w:val="en-US" w:eastAsia="zh-CN"/>
        </w:rPr>
        <w:t>（一）项目绩效目标及事前绩效评估完成情况</w:t>
      </w:r>
      <w:r>
        <w:rPr>
          <w:rFonts w:hint="default" w:ascii="Times New Roman" w:hAnsi="Times New Roman" w:eastAsia="方正楷体_GBK" w:cs="Times New Roman"/>
          <w:b/>
          <w:bCs/>
          <w:color w:val="auto"/>
          <w:sz w:val="32"/>
          <w:szCs w:val="32"/>
          <w:highlight w:val="none"/>
          <w:lang w:val="en-US" w:eastAsia="zh-CN"/>
        </w:rPr>
        <w:t>：</w:t>
      </w:r>
      <w:r>
        <w:rPr>
          <w:rFonts w:hint="default" w:ascii="Times New Roman" w:hAnsi="Times New Roman" w:eastAsia="方正仿宋_GBK" w:cs="Times New Roman"/>
          <w:sz w:val="32"/>
          <w:szCs w:val="32"/>
          <w:highlight w:val="none"/>
          <w:lang w:val="en-US" w:eastAsia="zh-CN"/>
        </w:rPr>
        <w:t>完成全县68个一级预算单位整体目标设置，和27个</w:t>
      </w:r>
      <w:r>
        <w:rPr>
          <w:rFonts w:hint="eastAsia" w:eastAsia="方正仿宋_GBK" w:cs="Times New Roman"/>
          <w:sz w:val="32"/>
          <w:szCs w:val="32"/>
          <w:highlight w:val="none"/>
          <w:lang w:val="en-US" w:eastAsia="zh-CN"/>
        </w:rPr>
        <w:t>巩固拓展脱贫攻坚成果同乡村振兴有效衔接</w:t>
      </w:r>
      <w:r>
        <w:rPr>
          <w:rFonts w:hint="default" w:ascii="Times New Roman" w:hAnsi="Times New Roman" w:eastAsia="方正仿宋_GBK" w:cs="Times New Roman"/>
          <w:sz w:val="32"/>
          <w:szCs w:val="32"/>
          <w:highlight w:val="none"/>
          <w:lang w:val="en-US" w:eastAsia="zh-CN"/>
        </w:rPr>
        <w:t>资金项目、269个一般公共预算资金项目、7个社会保险基金项目、3个政府债券资金项目、25个涉密项目，共计331个项目的2024年绩效目标设置上报工作；完成了2个新增项目事前绩效评估报告编写上报工作。</w:t>
      </w:r>
    </w:p>
    <w:p>
      <w:pPr>
        <w:keepNext w:val="0"/>
        <w:keepLines w:val="0"/>
        <w:pageBreakBefore w:val="0"/>
        <w:widowControl w:val="0"/>
        <w:kinsoku/>
        <w:wordWrap/>
        <w:overflowPunct/>
        <w:topLinePunct w:val="0"/>
        <w:autoSpaceDE/>
        <w:autoSpaceDN/>
        <w:bidi w:val="0"/>
        <w:adjustRightInd/>
        <w:snapToGrid/>
        <w:spacing w:line="570" w:lineRule="exact"/>
        <w:ind w:firstLine="643"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楷体_GB2312" w:cs="Times New Roman"/>
          <w:b/>
          <w:color w:val="000000"/>
          <w:sz w:val="32"/>
          <w:szCs w:val="32"/>
          <w:lang w:val="en-US" w:eastAsia="zh-CN"/>
        </w:rPr>
        <w:t>（二）重点月绩效监控完成情况：</w:t>
      </w:r>
      <w:r>
        <w:rPr>
          <w:rFonts w:hint="default" w:ascii="Times New Roman" w:hAnsi="Times New Roman" w:eastAsia="方正仿宋_GBK" w:cs="Times New Roman"/>
          <w:sz w:val="32"/>
          <w:szCs w:val="32"/>
          <w:highlight w:val="none"/>
          <w:lang w:val="en-US" w:eastAsia="zh-CN"/>
        </w:rPr>
        <w:t>5月共计完成27个</w:t>
      </w:r>
      <w:r>
        <w:rPr>
          <w:rFonts w:hint="eastAsia" w:eastAsia="方正仿宋_GBK" w:cs="Times New Roman"/>
          <w:sz w:val="32"/>
          <w:szCs w:val="32"/>
          <w:highlight w:val="none"/>
          <w:lang w:val="en-US" w:eastAsia="zh-CN"/>
        </w:rPr>
        <w:t>巩固拓展脱贫攻坚成果同乡村振兴有效衔接</w:t>
      </w:r>
      <w:r>
        <w:rPr>
          <w:rFonts w:hint="default" w:ascii="Times New Roman" w:hAnsi="Times New Roman" w:eastAsia="方正仿宋_GBK" w:cs="Times New Roman"/>
          <w:sz w:val="32"/>
          <w:szCs w:val="32"/>
          <w:highlight w:val="none"/>
          <w:lang w:val="en-US" w:eastAsia="zh-CN"/>
        </w:rPr>
        <w:t>资金项目、233个支出项目、53个直达资金项目、2个政府债券资金项目、21个涉密项目，共计283个项目的绩效监控工作；6月共计完成67个部门整体支出绩效监控工作；8月共计完成27个</w:t>
      </w:r>
      <w:r>
        <w:rPr>
          <w:rFonts w:hint="eastAsia" w:eastAsia="方正仿宋_GBK" w:cs="Times New Roman"/>
          <w:sz w:val="32"/>
          <w:szCs w:val="32"/>
          <w:highlight w:val="none"/>
          <w:lang w:val="en-US" w:eastAsia="zh-CN"/>
        </w:rPr>
        <w:t>巩固拓展脱贫攻坚成果同乡村振兴有效衔接</w:t>
      </w:r>
      <w:r>
        <w:rPr>
          <w:rFonts w:hint="default" w:ascii="Times New Roman" w:hAnsi="Times New Roman" w:eastAsia="方正仿宋_GBK" w:cs="Times New Roman"/>
          <w:sz w:val="32"/>
          <w:szCs w:val="32"/>
          <w:highlight w:val="none"/>
          <w:lang w:val="en-US" w:eastAsia="zh-CN"/>
        </w:rPr>
        <w:t>资金项目、250个支出项目、62个直达资金项目、3个政府债券资金项目、25个涉密项目，共计305个项目的绩效监控工作。</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3"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楷体_GB2312" w:cs="Times New Roman"/>
          <w:b/>
          <w:color w:val="000000"/>
          <w:sz w:val="32"/>
          <w:szCs w:val="32"/>
          <w:lang w:val="en-US" w:eastAsia="zh-CN"/>
        </w:rPr>
        <w:t>（三）2024年绩效自评工作完成情况：</w:t>
      </w:r>
      <w:r>
        <w:rPr>
          <w:rFonts w:hint="default" w:ascii="Times New Roman" w:hAnsi="Times New Roman" w:eastAsia="方正仿宋_GBK" w:cs="Times New Roman"/>
          <w:sz w:val="32"/>
          <w:szCs w:val="32"/>
          <w:highlight w:val="none"/>
          <w:lang w:val="en-US" w:eastAsia="zh-CN"/>
        </w:rPr>
        <w:t>完成全县67个一级预算单位2024年度整体支出绩效自评工作；完成全县32个</w:t>
      </w:r>
      <w:r>
        <w:rPr>
          <w:rFonts w:hint="eastAsia" w:eastAsia="方正仿宋_GBK" w:cs="Times New Roman"/>
          <w:sz w:val="32"/>
          <w:szCs w:val="32"/>
          <w:highlight w:val="none"/>
          <w:lang w:val="en-US" w:eastAsia="zh-CN"/>
        </w:rPr>
        <w:t>巩固拓展脱贫攻坚成果同乡村振兴有效衔接</w:t>
      </w:r>
      <w:r>
        <w:rPr>
          <w:rFonts w:hint="default" w:ascii="Times New Roman" w:hAnsi="Times New Roman" w:eastAsia="方正仿宋_GBK" w:cs="Times New Roman"/>
          <w:sz w:val="32"/>
          <w:szCs w:val="32"/>
          <w:highlight w:val="none"/>
          <w:lang w:val="en-US" w:eastAsia="zh-CN"/>
        </w:rPr>
        <w:t>资金项目、484个一般公共预算资金项目、1个政府性基金项目、1个国有资本经营项目、7个社会保险基金项目、11个政府债券资金项目、27个涉密项目，2024年共计563个项目绩效自评上报工作。</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3"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楷体_GB2312" w:cs="Times New Roman"/>
          <w:b/>
          <w:color w:val="000000"/>
          <w:sz w:val="32"/>
          <w:szCs w:val="32"/>
          <w:lang w:val="en-US" w:eastAsia="zh-CN"/>
        </w:rPr>
        <w:t>（四）2024年重点项目绩效评价及公开情况：</w:t>
      </w:r>
      <w:r>
        <w:rPr>
          <w:rFonts w:hint="default" w:ascii="Times New Roman" w:hAnsi="Times New Roman" w:eastAsia="方正仿宋_GBK" w:cs="Times New Roman"/>
          <w:sz w:val="32"/>
          <w:szCs w:val="32"/>
          <w:highlight w:val="none"/>
          <w:lang w:val="en-US" w:eastAsia="zh-CN"/>
        </w:rPr>
        <w:t>按照"以点带面，全面推开"的原则，结合2024年部门预算及项目实施情况，从公共服务、环境改造、基础设施建设等方面确定了6个重点项目开展绩效评价工作。其中：部门单位整体评价1个，财政政策评价3个，专项债券项目2个，评价资金总额3.65亿元。评价类型覆盖了“四本预算”及部门/单位整体、下级政府财政运行、财政政策、地方政府专项债券等方面。整体评价工作完成后形成6个绩效评价报告，并在同级政府门户网站对重点项目绩效评价报告进行了公开。</w:t>
      </w:r>
    </w:p>
    <w:p>
      <w:pPr>
        <w:pStyle w:val="2"/>
        <w:rPr>
          <w:rFonts w:hint="default"/>
          <w:lang w:val="en-US" w:eastAsia="zh-CN"/>
        </w:rPr>
      </w:pPr>
    </w:p>
    <w:p>
      <w:pPr>
        <w:pStyle w:val="2"/>
        <w:rPr>
          <w:rFonts w:hint="default"/>
          <w:lang w:val="en-US" w:eastAsia="zh-CN"/>
        </w:rPr>
      </w:pP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lang w:val="en-US" w:eastAsia="zh-CN"/>
        </w:rPr>
      </w:pPr>
      <w:r>
        <w:rPr>
          <w:rFonts w:hint="default" w:ascii="Times New Roman" w:hAnsi="Times New Roman" w:eastAsia="黑体" w:cs="Times New Roman"/>
          <w:color w:val="000000"/>
          <w:sz w:val="32"/>
          <w:szCs w:val="32"/>
          <w:lang w:val="en-US" w:eastAsia="zh-CN"/>
        </w:rPr>
        <w:t>二、具体工作措施</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3"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楷体_GB2312" w:cs="Times New Roman"/>
          <w:b/>
          <w:color w:val="000000"/>
          <w:sz w:val="32"/>
          <w:szCs w:val="32"/>
          <w:lang w:val="en-US" w:eastAsia="zh-CN"/>
        </w:rPr>
        <w:t>（一）制度建设方面：</w:t>
      </w:r>
      <w:r>
        <w:rPr>
          <w:rFonts w:hint="default" w:ascii="Times New Roman" w:hAnsi="Times New Roman" w:eastAsia="方正仿宋_GBK" w:cs="Times New Roman"/>
          <w:sz w:val="32"/>
          <w:szCs w:val="32"/>
          <w:highlight w:val="none"/>
          <w:lang w:val="en-US" w:eastAsia="zh-CN"/>
        </w:rPr>
        <w:t>把制度建设作为开展预算绩效管理工作的关键环节，组织预算单位深入学习并贯彻执行相关预算制度和绩效评价制度。通过多种形式对各类制度及文件的学习，明确了预算绩效管理的相关理念、主要内容和核心工作要求。</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3" w:firstLineChars="200"/>
        <w:textAlignment w:val="auto"/>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楷体_GB2312" w:cs="Times New Roman"/>
          <w:b/>
          <w:color w:val="000000"/>
          <w:sz w:val="32"/>
          <w:szCs w:val="32"/>
          <w:lang w:val="en-US" w:eastAsia="zh-CN"/>
        </w:rPr>
        <w:t>（二）绩效工作信息化建设方面：</w:t>
      </w:r>
      <w:r>
        <w:rPr>
          <w:rFonts w:hint="default" w:ascii="Times New Roman" w:hAnsi="Times New Roman" w:eastAsia="方正仿宋_GBK" w:cs="Times New Roman"/>
          <w:sz w:val="32"/>
          <w:szCs w:val="32"/>
          <w:highlight w:val="none"/>
          <w:lang w:val="en-US" w:eastAsia="zh-CN"/>
        </w:rPr>
        <w:t>加大对预算绩效管理信息化建设的投入，不断完善信息系统的功能，提高数据的准确性和及时性，为预算绩效管理提供有力的技术支持。同时结合工作实际，建立了预算绩效管理评价工作流程，并针对流程中的每个步骤，完善相应的印证资料，为预算绩效管理评价工作的规范性及完整性打下了坚实基础。</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3"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楷体_GB2312" w:cs="Times New Roman"/>
          <w:b/>
          <w:color w:val="000000"/>
          <w:sz w:val="32"/>
          <w:szCs w:val="32"/>
          <w:lang w:val="en-US" w:eastAsia="zh-CN"/>
        </w:rPr>
        <w:t>（三）指标体系建设方面：</w:t>
      </w:r>
      <w:r>
        <w:rPr>
          <w:rFonts w:hint="default" w:ascii="Times New Roman" w:hAnsi="Times New Roman" w:eastAsia="方正仿宋_GBK" w:cs="Times New Roman"/>
          <w:sz w:val="32"/>
          <w:szCs w:val="32"/>
          <w:highlight w:val="none"/>
          <w:lang w:val="en-US" w:eastAsia="zh-CN"/>
        </w:rPr>
        <w:t>按照自治区下发的绩效评价共性指标体系，合理确定适合项目特点的绩效评价指标，确保指标的时效性和准确性，为真实评价项目的实际情况提供了保证。</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3"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楷体_GB2312" w:cs="Times New Roman"/>
          <w:b/>
          <w:color w:val="000000"/>
          <w:sz w:val="32"/>
          <w:szCs w:val="32"/>
          <w:lang w:val="en-US" w:eastAsia="zh-CN"/>
        </w:rPr>
        <w:t>（四）绩效监控及结果应用方面：</w:t>
      </w:r>
      <w:r>
        <w:rPr>
          <w:rFonts w:hint="default" w:ascii="Times New Roman" w:hAnsi="Times New Roman" w:eastAsia="方正仿宋_GBK" w:cs="Times New Roman"/>
          <w:sz w:val="32"/>
          <w:szCs w:val="32"/>
          <w:highlight w:val="none"/>
          <w:lang w:val="en-US" w:eastAsia="zh-CN"/>
        </w:rPr>
        <w:t>在日常工作中，加强对预算绩效的监控力度，将绩效管理贯穿于预算编制、监督、执行、评价全过程。通过重点月的监控工作开展情况，及时发现预算执行中的问题，并采取相应的有效措施予以纠正。同时强化绩效评价结果的运用，将其作为年度预算调整、资金分配和以后年度预算安排的重要依据。通过树立“花钱必问效、无效必问责”的绩效理念，进一步提高了财政资金的使用效率和效益。</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lang w:val="en-US" w:eastAsia="zh-CN"/>
        </w:rPr>
      </w:pPr>
      <w:r>
        <w:rPr>
          <w:rFonts w:hint="default" w:ascii="Times New Roman" w:hAnsi="Times New Roman" w:eastAsia="黑体" w:cs="Times New Roman"/>
          <w:color w:val="000000"/>
          <w:sz w:val="32"/>
          <w:szCs w:val="32"/>
          <w:lang w:val="en-US" w:eastAsia="zh-CN"/>
        </w:rPr>
        <w:t>三、取得的工作成效</w:t>
      </w:r>
    </w:p>
    <w:p>
      <w:pPr>
        <w:pStyle w:val="2"/>
        <w:keepNext w:val="0"/>
        <w:keepLines w:val="0"/>
        <w:pageBreakBefore w:val="0"/>
        <w:widowControl w:val="0"/>
        <w:kinsoku/>
        <w:wordWrap/>
        <w:overflowPunct/>
        <w:topLinePunct w:val="0"/>
        <w:autoSpaceDE/>
        <w:autoSpaceDN/>
        <w:bidi w:val="0"/>
        <w:adjustRightInd/>
        <w:snapToGrid/>
        <w:spacing w:before="0" w:after="0" w:line="570" w:lineRule="exact"/>
        <w:textAlignment w:val="auto"/>
        <w:rPr>
          <w:rFonts w:hint="default" w:ascii="Times New Roman" w:hAnsi="Times New Roman" w:eastAsia="方正仿宋_GBK" w:cs="Times New Roman"/>
          <w:kern w:val="2"/>
          <w:sz w:val="32"/>
          <w:szCs w:val="32"/>
          <w:highlight w:val="none"/>
          <w:lang w:val="en-US" w:eastAsia="zh-CN" w:bidi="ar-SA"/>
        </w:rPr>
      </w:pPr>
      <w:r>
        <w:rPr>
          <w:rFonts w:hint="default" w:ascii="Times New Roman" w:hAnsi="Times New Roman" w:eastAsia="楷体_GB2312" w:cs="Times New Roman"/>
          <w:b/>
          <w:color w:val="000000"/>
          <w:kern w:val="2"/>
          <w:sz w:val="32"/>
          <w:szCs w:val="32"/>
          <w:lang w:val="en-US" w:eastAsia="zh-CN" w:bidi="ar-SA"/>
        </w:rPr>
        <w:t>（一）预算绩效管理意识进一步提升</w:t>
      </w:r>
      <w:r>
        <w:rPr>
          <w:rFonts w:hint="eastAsia" w:eastAsia="楷体_GB2312" w:cs="Times New Roman"/>
          <w:b/>
          <w:color w:val="000000"/>
          <w:kern w:val="2"/>
          <w:sz w:val="32"/>
          <w:szCs w:val="32"/>
          <w:lang w:val="en-US" w:eastAsia="zh-CN" w:bidi="ar-SA"/>
        </w:rPr>
        <w:t>:</w:t>
      </w:r>
      <w:r>
        <w:rPr>
          <w:rFonts w:hint="default" w:ascii="Times New Roman" w:hAnsi="Times New Roman" w:eastAsia="方正仿宋_GBK" w:cs="Times New Roman"/>
          <w:kern w:val="2"/>
          <w:sz w:val="32"/>
          <w:szCs w:val="32"/>
          <w:highlight w:val="none"/>
          <w:lang w:val="en-US" w:eastAsia="zh-CN" w:bidi="ar-SA"/>
        </w:rPr>
        <w:t>通过全面实施预算绩效管理工作，各部门预算单位的预算绩效管理意识显著增强，大家逐渐认识到绩效管理工作的重要性，更加注重预算编制的严谨性和准确性，以及绩效指标设置的明确性和合理性。</w:t>
      </w:r>
    </w:p>
    <w:p>
      <w:pPr>
        <w:pStyle w:val="2"/>
        <w:keepNext w:val="0"/>
        <w:keepLines w:val="0"/>
        <w:pageBreakBefore w:val="0"/>
        <w:widowControl w:val="0"/>
        <w:kinsoku/>
        <w:wordWrap/>
        <w:overflowPunct/>
        <w:topLinePunct w:val="0"/>
        <w:autoSpaceDE/>
        <w:autoSpaceDN/>
        <w:bidi w:val="0"/>
        <w:adjustRightInd/>
        <w:snapToGrid/>
        <w:spacing w:before="0" w:after="0" w:line="570" w:lineRule="exact"/>
        <w:textAlignment w:val="auto"/>
        <w:rPr>
          <w:rFonts w:hint="default" w:ascii="Times New Roman" w:hAnsi="Times New Roman" w:eastAsia="方正仿宋_GBK" w:cs="Times New Roman"/>
          <w:kern w:val="2"/>
          <w:sz w:val="32"/>
          <w:szCs w:val="32"/>
          <w:highlight w:val="none"/>
          <w:lang w:val="en-US" w:eastAsia="zh-CN" w:bidi="ar-SA"/>
        </w:rPr>
      </w:pPr>
      <w:r>
        <w:rPr>
          <w:rFonts w:hint="default" w:ascii="Times New Roman" w:hAnsi="Times New Roman" w:eastAsia="楷体_GB2312" w:cs="Times New Roman"/>
          <w:b/>
          <w:color w:val="000000"/>
          <w:kern w:val="2"/>
          <w:sz w:val="32"/>
          <w:szCs w:val="32"/>
          <w:lang w:val="en-US" w:eastAsia="zh-CN" w:bidi="ar-SA"/>
        </w:rPr>
        <w:t>（二）预算执行效率有效提高</w:t>
      </w:r>
      <w:r>
        <w:rPr>
          <w:rFonts w:hint="eastAsia" w:eastAsia="楷体_GB2312" w:cs="Times New Roman"/>
          <w:b/>
          <w:color w:val="000000"/>
          <w:kern w:val="2"/>
          <w:sz w:val="32"/>
          <w:szCs w:val="32"/>
          <w:lang w:val="en-US" w:eastAsia="zh-CN" w:bidi="ar-SA"/>
        </w:rPr>
        <w:t>:</w:t>
      </w:r>
      <w:r>
        <w:rPr>
          <w:rFonts w:hint="default" w:ascii="Times New Roman" w:hAnsi="Times New Roman" w:eastAsia="方正仿宋_GBK" w:cs="Times New Roman"/>
          <w:kern w:val="2"/>
          <w:sz w:val="32"/>
          <w:szCs w:val="32"/>
          <w:highlight w:val="none"/>
          <w:lang w:val="en-US" w:eastAsia="zh-CN" w:bidi="ar-SA"/>
        </w:rPr>
        <w:t>通过加强对预算执行的监控和管理，确保了各类财政资金的及时支付和合理使用。同时通过优化预算编制和提高预算编制的准确性，及安排项目的合理性，减少项目结余资金，提高了财政资金的使用效率。</w:t>
      </w:r>
    </w:p>
    <w:p>
      <w:pPr>
        <w:pStyle w:val="2"/>
        <w:keepNext w:val="0"/>
        <w:keepLines w:val="0"/>
        <w:pageBreakBefore w:val="0"/>
        <w:widowControl w:val="0"/>
        <w:kinsoku/>
        <w:wordWrap/>
        <w:overflowPunct/>
        <w:topLinePunct w:val="0"/>
        <w:autoSpaceDE/>
        <w:autoSpaceDN/>
        <w:bidi w:val="0"/>
        <w:adjustRightInd/>
        <w:snapToGrid/>
        <w:spacing w:before="0" w:after="0" w:line="570" w:lineRule="exact"/>
        <w:textAlignment w:val="auto"/>
        <w:rPr>
          <w:rFonts w:hint="default" w:ascii="Times New Roman" w:hAnsi="Times New Roman" w:eastAsia="方正仿宋_GBK" w:cs="Times New Roman"/>
          <w:kern w:val="2"/>
          <w:sz w:val="32"/>
          <w:szCs w:val="32"/>
          <w:highlight w:val="none"/>
          <w:lang w:val="en-US" w:eastAsia="zh-CN" w:bidi="ar-SA"/>
        </w:rPr>
      </w:pPr>
      <w:r>
        <w:rPr>
          <w:rFonts w:hint="default" w:ascii="Times New Roman" w:hAnsi="Times New Roman" w:eastAsia="楷体_GB2312" w:cs="Times New Roman"/>
          <w:b/>
          <w:color w:val="000000"/>
          <w:kern w:val="2"/>
          <w:sz w:val="32"/>
          <w:szCs w:val="32"/>
          <w:lang w:val="en-US" w:eastAsia="zh-CN" w:bidi="ar-SA"/>
        </w:rPr>
        <w:t>（三）预算绩效评价工作质量进一步提升</w:t>
      </w:r>
      <w:r>
        <w:rPr>
          <w:rFonts w:hint="eastAsia" w:eastAsia="楷体_GB2312" w:cs="Times New Roman"/>
          <w:b/>
          <w:color w:val="000000"/>
          <w:kern w:val="2"/>
          <w:sz w:val="32"/>
          <w:szCs w:val="32"/>
          <w:lang w:val="en-US" w:eastAsia="zh-CN" w:bidi="ar-SA"/>
        </w:rPr>
        <w:t>:</w:t>
      </w:r>
      <w:r>
        <w:rPr>
          <w:rFonts w:hint="default" w:ascii="Times New Roman" w:hAnsi="Times New Roman" w:eastAsia="方正仿宋_GBK" w:cs="Times New Roman"/>
          <w:kern w:val="2"/>
          <w:sz w:val="32"/>
          <w:szCs w:val="32"/>
          <w:highlight w:val="none"/>
          <w:lang w:val="en-US" w:eastAsia="zh-CN" w:bidi="ar-SA"/>
        </w:rPr>
        <w:t>通过全面推进预算绩效评价管理工作，实现了各类财政资金绩效目标、绩效监控、绩效自评的全覆盖。同时通过选择部分单位绩效自评项目抽查和开展重点项目绩效评价，进一步提高了预算绩效评价工作的质量。</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lang w:val="en-US" w:eastAsia="zh-CN"/>
        </w:rPr>
      </w:pPr>
      <w:r>
        <w:rPr>
          <w:rFonts w:hint="default" w:ascii="Times New Roman" w:hAnsi="Times New Roman" w:eastAsia="黑体" w:cs="Times New Roman"/>
          <w:color w:val="000000"/>
          <w:sz w:val="32"/>
          <w:szCs w:val="32"/>
          <w:lang w:val="en-US" w:eastAsia="zh-CN"/>
        </w:rPr>
        <w:t>四、存在的问题及改进措施</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3"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楷体_GB2312" w:cs="Times New Roman"/>
          <w:b/>
          <w:color w:val="000000"/>
          <w:sz w:val="32"/>
          <w:szCs w:val="32"/>
          <w:lang w:val="en-US" w:eastAsia="zh-CN"/>
        </w:rPr>
        <w:t>(一)绩效管理意识有待进一步提升</w:t>
      </w:r>
      <w:r>
        <w:rPr>
          <w:rFonts w:hint="eastAsia" w:eastAsia="楷体_GB2312" w:cs="Times New Roman"/>
          <w:b/>
          <w:color w:val="000000"/>
          <w:sz w:val="32"/>
          <w:szCs w:val="32"/>
          <w:lang w:val="en-US" w:eastAsia="zh-CN"/>
        </w:rPr>
        <w:t>:</w:t>
      </w:r>
      <w:r>
        <w:rPr>
          <w:rFonts w:hint="default" w:ascii="Times New Roman" w:hAnsi="Times New Roman" w:eastAsia="方正仿宋_GBK" w:cs="Times New Roman"/>
          <w:sz w:val="32"/>
          <w:szCs w:val="32"/>
          <w:highlight w:val="none"/>
          <w:lang w:val="en-US" w:eastAsia="zh-CN"/>
        </w:rPr>
        <w:t>部分预算单位对于预算绩效管理工作的重要性认识不足，仍然存在预算编制不严谨、绩效指标设置不明确等问题。今后将继续加强宣传和培训力度，提高各预算单位的预算绩效管理意识。</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3"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楷体_GB2312" w:cs="Times New Roman"/>
          <w:b/>
          <w:color w:val="000000"/>
          <w:sz w:val="32"/>
          <w:szCs w:val="32"/>
          <w:lang w:val="en-US" w:eastAsia="zh-CN"/>
        </w:rPr>
        <w:t>（二）预算执行有待进一步强化</w:t>
      </w:r>
      <w:r>
        <w:rPr>
          <w:rFonts w:hint="eastAsia" w:eastAsia="楷体_GB2312" w:cs="Times New Roman"/>
          <w:b/>
          <w:color w:val="000000"/>
          <w:sz w:val="32"/>
          <w:szCs w:val="32"/>
          <w:lang w:val="en-US" w:eastAsia="zh-CN"/>
        </w:rPr>
        <w:t>:</w:t>
      </w:r>
      <w:r>
        <w:rPr>
          <w:rFonts w:hint="default" w:ascii="Times New Roman" w:hAnsi="Times New Roman" w:eastAsia="方正仿宋_GBK" w:cs="Times New Roman"/>
          <w:sz w:val="32"/>
          <w:szCs w:val="32"/>
          <w:highlight w:val="none"/>
          <w:lang w:val="en-US" w:eastAsia="zh-CN"/>
        </w:rPr>
        <w:t>部分项目存在支付进度偏慢、预算执行率偏低等问题。今后将加强预算执行监控和执行进度管理力度，确保资金支付和项目执行进度相匹配，发挥资金的使用效益。</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3"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楷体_GB2312" w:cs="Times New Roman"/>
          <w:b/>
          <w:color w:val="000000"/>
          <w:sz w:val="32"/>
          <w:szCs w:val="32"/>
          <w:lang w:val="en-US" w:eastAsia="zh-CN"/>
        </w:rPr>
        <w:t>（三）绩效评价结果运用不充分</w:t>
      </w:r>
      <w:r>
        <w:rPr>
          <w:rFonts w:hint="eastAsia" w:eastAsia="楷体_GB2312" w:cs="Times New Roman"/>
          <w:b/>
          <w:color w:val="000000"/>
          <w:sz w:val="32"/>
          <w:szCs w:val="32"/>
          <w:lang w:val="en-US" w:eastAsia="zh-CN"/>
        </w:rPr>
        <w:t>:</w:t>
      </w:r>
      <w:r>
        <w:rPr>
          <w:rFonts w:hint="default" w:ascii="Times New Roman" w:hAnsi="Times New Roman" w:eastAsia="方正仿宋_GBK" w:cs="Times New Roman"/>
          <w:sz w:val="32"/>
          <w:szCs w:val="32"/>
          <w:highlight w:val="none"/>
          <w:lang w:val="en-US" w:eastAsia="zh-CN"/>
        </w:rPr>
        <w:t>目前，虽然预算绩效管理在绩效目标、绩效评价、绩效监控、反馈应用等环节做了大量工作，却在评价结果应用方面，效果还未达到理想状态。相关的激励约束机制需要完善，评价结果与以后年度的预算安排还未有机结合，优化、促进预算管理的作用尚未充分体现。</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lang w:val="zh-CN" w:eastAsia="zh-CN"/>
        </w:rPr>
      </w:pPr>
      <w:r>
        <w:rPr>
          <w:rFonts w:hint="default" w:ascii="Times New Roman" w:hAnsi="Times New Roman" w:eastAsia="黑体" w:cs="Times New Roman"/>
          <w:color w:val="000000"/>
          <w:sz w:val="32"/>
          <w:szCs w:val="32"/>
          <w:lang w:val="en-US" w:eastAsia="zh-CN"/>
        </w:rPr>
        <w:t>五、下一步工作计划</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3"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楷体_GB2312" w:cs="Times New Roman"/>
          <w:b/>
          <w:color w:val="000000"/>
          <w:sz w:val="32"/>
          <w:szCs w:val="32"/>
          <w:lang w:val="en-US" w:eastAsia="zh-CN"/>
        </w:rPr>
        <w:t>（一）强化绩效管理考核</w:t>
      </w:r>
      <w:r>
        <w:rPr>
          <w:rFonts w:hint="eastAsia" w:eastAsia="楷体_GB2312" w:cs="Times New Roman"/>
          <w:b/>
          <w:color w:val="000000"/>
          <w:sz w:val="32"/>
          <w:szCs w:val="32"/>
          <w:lang w:val="en-US" w:eastAsia="zh-CN"/>
        </w:rPr>
        <w:t>:</w:t>
      </w:r>
      <w:r>
        <w:rPr>
          <w:rFonts w:hint="default" w:ascii="Times New Roman" w:hAnsi="Times New Roman" w:eastAsia="方正仿宋_GBK" w:cs="Times New Roman"/>
          <w:sz w:val="32"/>
          <w:szCs w:val="32"/>
          <w:highlight w:val="none"/>
          <w:lang w:val="en-US" w:eastAsia="zh-CN"/>
        </w:rPr>
        <w:t>根据《中共喀什地委、喀什行政公署关于全面实施预算绩效管理的实施意见》要求，将预算绩效管理工作纳入政府绩效和干部政绩考核体系，作为领导干部选拔任用、公务员考核的重要参考内容，建立考核结果通报制度，对工作成效明显的部门给予表彰，对工作推进不力的进行约谈并责令整改，形成“花钱必问效、无效必问责”的工作理念，审计部门负责依法对预算绩效管理情况开展审计监督，对发现的违纪、违法问题线索，及时移送纪检监察机关。</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3"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楷体_GB2312" w:cs="Times New Roman"/>
          <w:b/>
          <w:color w:val="000000"/>
          <w:sz w:val="32"/>
          <w:szCs w:val="32"/>
          <w:lang w:val="en-US" w:eastAsia="zh-CN"/>
        </w:rPr>
        <w:t>（二）加强培训工作</w:t>
      </w:r>
      <w:r>
        <w:rPr>
          <w:rFonts w:hint="eastAsia" w:eastAsia="楷体_GB2312" w:cs="Times New Roman"/>
          <w:b/>
          <w:color w:val="000000"/>
          <w:sz w:val="32"/>
          <w:szCs w:val="32"/>
          <w:lang w:val="en-US" w:eastAsia="zh-CN"/>
        </w:rPr>
        <w:t>:</w:t>
      </w:r>
      <w:r>
        <w:rPr>
          <w:rFonts w:hint="default" w:ascii="Times New Roman" w:hAnsi="Times New Roman" w:eastAsia="方正仿宋_GBK" w:cs="Times New Roman"/>
          <w:sz w:val="32"/>
          <w:szCs w:val="32"/>
          <w:highlight w:val="none"/>
          <w:lang w:val="en-US" w:eastAsia="zh-CN"/>
        </w:rPr>
        <w:t>积极促进形成高度统一的预算绩效管理思想，统一标准，严格要求，增强其作为绩效管理主体的职责意识，加强预算绩效管理并强化绩效目标管理的方式，认真学习，从严管理，为以后的绩效管理打好坚实的基础，同时做好后续的监控及自评等相关业务的培训工作，提升工作效率。</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3"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楷体_GB2312" w:cs="Times New Roman"/>
          <w:b/>
          <w:color w:val="000000"/>
          <w:sz w:val="32"/>
          <w:szCs w:val="32"/>
          <w:lang w:val="en-US" w:eastAsia="zh-CN"/>
        </w:rPr>
        <w:t>（三）强化结果运用，促进绩效管理提质增效</w:t>
      </w:r>
      <w:r>
        <w:rPr>
          <w:rFonts w:hint="eastAsia" w:eastAsia="楷体_GB2312" w:cs="Times New Roman"/>
          <w:b/>
          <w:color w:val="000000"/>
          <w:sz w:val="32"/>
          <w:szCs w:val="32"/>
          <w:lang w:val="en-US" w:eastAsia="zh-CN"/>
        </w:rPr>
        <w:t>:</w:t>
      </w:r>
      <w:r>
        <w:rPr>
          <w:rFonts w:hint="default" w:ascii="Times New Roman" w:hAnsi="Times New Roman" w:eastAsia="方正仿宋_GBK" w:cs="Times New Roman"/>
          <w:sz w:val="32"/>
          <w:szCs w:val="32"/>
          <w:highlight w:val="none"/>
          <w:lang w:val="en-US" w:eastAsia="zh-CN"/>
        </w:rPr>
        <w:t>结合自治区、喀什地区预算绩效管理工作考核要求，修改完善预算绩效管理工作考核办法，将各部门预算绩效管理工作情况纳入全县年度目标绩效考核中。按照“谁主管、谁使用、谁负责”的原则，提升预算单位的绩效责任主体意识，及时反馈评价结果，并跟踪整改落实情况。严格执行预算绩效单位自评、部门评价、财政部门核查和再评价的程序，加强事前绩效评估、绩效目标管理、绩效运行监控、绩效评价管理等预算绩效管理过程控制，提高绩效管理工作质量。</w:t>
      </w:r>
    </w:p>
    <w:p>
      <w:pPr>
        <w:keepNext w:val="0"/>
        <w:keepLines w:val="0"/>
        <w:pageBreakBefore w:val="0"/>
        <w:widowControl w:val="0"/>
        <w:kinsoku/>
        <w:wordWrap/>
        <w:overflowPunct/>
        <w:topLinePunct w:val="0"/>
        <w:autoSpaceDE/>
        <w:bidi w:val="0"/>
        <w:spacing w:line="620" w:lineRule="exact"/>
        <w:ind w:firstLine="643"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楷体_GB2312" w:cs="Times New Roman"/>
          <w:b/>
          <w:color w:val="000000"/>
          <w:sz w:val="32"/>
          <w:szCs w:val="32"/>
          <w:lang w:val="en-US" w:eastAsia="zh-CN"/>
        </w:rPr>
        <w:t>（四）推动绩效信息公开</w:t>
      </w:r>
      <w:r>
        <w:rPr>
          <w:rFonts w:hint="eastAsia" w:eastAsia="楷体_GB2312" w:cs="Times New Roman"/>
          <w:b/>
          <w:color w:val="000000"/>
          <w:sz w:val="32"/>
          <w:szCs w:val="32"/>
          <w:lang w:val="en-US" w:eastAsia="zh-CN"/>
        </w:rPr>
        <w:t>:</w:t>
      </w:r>
      <w:r>
        <w:rPr>
          <w:rFonts w:hint="default" w:ascii="Times New Roman" w:hAnsi="Times New Roman" w:eastAsia="方正仿宋_GBK" w:cs="Times New Roman"/>
          <w:sz w:val="32"/>
          <w:szCs w:val="32"/>
          <w:highlight w:val="none"/>
          <w:lang w:val="en-US" w:eastAsia="zh-CN"/>
        </w:rPr>
        <w:t>建立绩效信息公开制度，按照规定的程序和要求，及时公开预算绩效信息，加强对绩效信息的分析和利用，为政府决策和社会公众提供更加准确、全面的信息服务。</w:t>
      </w:r>
    </w:p>
    <w:p>
      <w:pPr>
        <w:keepNext w:val="0"/>
        <w:keepLines w:val="0"/>
        <w:pageBreakBefore w:val="0"/>
        <w:widowControl w:val="0"/>
        <w:kinsoku/>
        <w:wordWrap/>
        <w:overflowPunct/>
        <w:topLinePunct w:val="0"/>
        <w:autoSpaceDE/>
        <w:bidi w:val="0"/>
        <w:spacing w:line="620" w:lineRule="exact"/>
        <w:textAlignment w:val="auto"/>
        <w:rPr>
          <w:rFonts w:hint="default" w:ascii="Times New Roman" w:hAnsi="Times New Roman" w:eastAsia="方正仿宋_GBK" w:cs="Times New Roman"/>
          <w:sz w:val="32"/>
          <w:szCs w:val="32"/>
          <w:highlight w:val="none"/>
          <w:lang w:val="en-US" w:eastAsia="zh-Hans"/>
        </w:rPr>
      </w:pPr>
    </w:p>
    <w:p>
      <w:pPr>
        <w:pStyle w:val="7"/>
        <w:widowControl w:val="0"/>
        <w:numPr>
          <w:ilvl w:val="0"/>
          <w:numId w:val="0"/>
        </w:numPr>
        <w:snapToGrid w:val="0"/>
        <w:jc w:val="left"/>
        <w:rPr>
          <w:rFonts w:hint="default" w:ascii="Times New Roman" w:hAnsi="Times New Roman" w:cs="Times New Roman"/>
          <w:lang w:val="en-US" w:eastAsia="zh-Hans"/>
        </w:rPr>
      </w:pPr>
    </w:p>
    <w:p>
      <w:pPr>
        <w:pStyle w:val="7"/>
        <w:widowControl w:val="0"/>
        <w:numPr>
          <w:ilvl w:val="0"/>
          <w:numId w:val="0"/>
        </w:numPr>
        <w:snapToGrid w:val="0"/>
        <w:jc w:val="left"/>
        <w:rPr>
          <w:rFonts w:hint="default" w:ascii="Times New Roman" w:hAnsi="Times New Roman" w:cs="Times New Roman"/>
          <w:lang w:val="en-US" w:eastAsia="zh-Hans"/>
        </w:rPr>
      </w:pPr>
    </w:p>
    <w:p>
      <w:pPr>
        <w:widowControl w:val="0"/>
        <w:numPr>
          <w:ilvl w:val="0"/>
          <w:numId w:val="6"/>
        </w:numPr>
        <w:spacing w:line="600" w:lineRule="exact"/>
        <w:ind w:left="0" w:leftChars="0" w:firstLine="0" w:firstLineChars="0"/>
        <w:jc w:val="center"/>
        <w:outlineLvl w:val="9"/>
        <w:rPr>
          <w:rFonts w:hint="default" w:ascii="Times New Roman" w:hAnsi="Times New Roman" w:eastAsia="方正黑体_GBK" w:cs="Times New Roman"/>
          <w:sz w:val="36"/>
          <w:szCs w:val="36"/>
          <w:lang w:val="en-US" w:eastAsia="zh-Hans"/>
        </w:rPr>
      </w:pPr>
      <w:r>
        <w:rPr>
          <w:rFonts w:hint="default" w:ascii="Times New Roman" w:hAnsi="Times New Roman" w:eastAsia="方正黑体_GBK" w:cs="Times New Roman"/>
          <w:kern w:val="0"/>
          <w:sz w:val="36"/>
          <w:szCs w:val="36"/>
          <w:highlight w:val="none"/>
          <w:lang w:val="en-US" w:eastAsia="zh-Hans"/>
        </w:rPr>
        <w:t>其他情况说明</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000000"/>
          <w:kern w:val="2"/>
          <w:sz w:val="32"/>
          <w:szCs w:val="32"/>
          <w:lang w:val="en-US" w:eastAsia="zh-CN" w:bidi="ar-SA"/>
        </w:rPr>
      </w:pP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暂无其他情况说明。</w:t>
      </w:r>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- 9 -</w:t>
                          </w:r>
                          <w:r>
                            <w:rPr>
                              <w:rFonts w:hint="eastAsia" w:ascii="宋体" w:hAnsi="宋体" w:eastAsia="宋体" w:cs="宋体"/>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iC+ss0BAACnAwAADgAAAGRycy9lMm9Eb2MueG1srVNLbtswEN0X6B0I&#10;7mspD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wcfFD7Lq9U6o7+9hBppDxp6jDCEsPk0PtlrtOupQV57Oeqh/9r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9iC+ss0BAACnAwAADgAAAAAAAAABACAAAAAeAQAAZHJzL2Uy&#10;b0RvYy54bWxQSwUGAAAAAAYABgBZAQAAXQUAAAAA&#10;">
              <v:fill on="f" focussize="0,0"/>
              <v:stroke on="f"/>
              <v:imagedata o:title=""/>
              <o:lock v:ext="edit" aspectratio="f"/>
              <v:textbox inset="0mm,0mm,0mm,0mm" style="mso-fit-shape-to-text:t;">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- 9 -</w:t>
                    </w:r>
                    <w:r>
                      <w:rPr>
                        <w:rFonts w:hint="eastAsia" w:ascii="宋体" w:hAnsi="宋体" w:eastAsia="宋体" w:cs="宋体"/>
                        <w:sz w:val="28"/>
                        <w:szCs w:val="28"/>
                      </w:rP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ml5N0zAEAAKcDAAAOAAAAAAAAAAEAIAAAAB4BAABkcnMvZTJv&#10;RG9jLnhtbFBLBQYAAAAABgAGAFkBAABcBQAAAAA=&#10;">
              <v:fill on="f" focussize="0,0"/>
              <v:stroke on="f"/>
              <v:imagedata o:title=""/>
              <o:lock v:ext="edit" aspectratio="f"/>
              <v:textbox inset="0mm,0mm,0mm,0mm" style="mso-fit-shape-to-text:t;">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v:textbox>
            </v:shape>
          </w:pict>
        </mc:Fallback>
      </mc:AlternateContent>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snapToGrid w:val="0"/>
                            <w:rPr>
                              <w:sz w:val="1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zSVju0AAAAAUBAAAPAAAAAAAAAAEAIAAAACIAAABk&#10;cnMvZG93bnJldi54bWxQSwECFAAUAAAACACHTuJAIyfhZ9UBAACwAwAADgAAAAAAAAABACAAAAAf&#10;AQAAZHJzL2Uyb0RvYy54bWxQSwUGAAAAAAYABgBZAQAAZgUAAAAA&#10;">
              <v:fill on="f" focussize="0,0"/>
              <v:stroke on="f" weight="0.5pt"/>
              <v:imagedata o:title=""/>
              <o:lock v:ext="edit" aspectratio="f"/>
              <v:textbox inset="0mm,0mm,0mm,0mm" style="mso-fit-shape-to-text:t;">
                <w:txbxContent>
                  <w:p>
                    <w:pPr>
                      <w:snapToGrid w:val="0"/>
                      <w:rPr>
                        <w:sz w:val="1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v:textbox>
            </v:shape>
          </w:pict>
        </mc:Fallback>
      </mc:AlternateContent>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973601"/>
    <w:multiLevelType w:val="singleLevel"/>
    <w:tmpl w:val="83973601"/>
    <w:lvl w:ilvl="0" w:tentative="0">
      <w:start w:val="1"/>
      <w:numFmt w:val="chineseCounting"/>
      <w:lvlText w:val="第%1部分"/>
      <w:lvlJc w:val="left"/>
      <w:rPr>
        <w:rFonts w:hint="eastAsia" w:ascii="方正黑体_GBK" w:hAnsi="方正黑体_GBK" w:eastAsia="方正黑体_GBK" w:cs="方正黑体_GBK"/>
        <w:sz w:val="36"/>
        <w:szCs w:val="36"/>
      </w:rPr>
    </w:lvl>
  </w:abstractNum>
  <w:abstractNum w:abstractNumId="1">
    <w:nsid w:val="D158AD68"/>
    <w:multiLevelType w:val="singleLevel"/>
    <w:tmpl w:val="D158AD68"/>
    <w:lvl w:ilvl="0" w:tentative="0">
      <w:start w:val="1"/>
      <w:numFmt w:val="chineseCounting"/>
      <w:suff w:val="nothing"/>
      <w:lvlText w:val="%1、"/>
      <w:lvlJc w:val="left"/>
      <w:rPr>
        <w:rFonts w:hint="eastAsia"/>
      </w:rPr>
    </w:lvl>
  </w:abstractNum>
  <w:abstractNum w:abstractNumId="2">
    <w:nsid w:val="D37D8669"/>
    <w:multiLevelType w:val="singleLevel"/>
    <w:tmpl w:val="D37D8669"/>
    <w:lvl w:ilvl="0" w:tentative="0">
      <w:start w:val="4"/>
      <w:numFmt w:val="chineseCounting"/>
      <w:suff w:val="nothing"/>
      <w:lvlText w:val="%1、"/>
      <w:lvlJc w:val="left"/>
      <w:rPr>
        <w:rFonts w:hint="eastAsia"/>
      </w:rPr>
    </w:lvl>
  </w:abstractNum>
  <w:abstractNum w:abstractNumId="3">
    <w:nsid w:val="4E5FA5F4"/>
    <w:multiLevelType w:val="singleLevel"/>
    <w:tmpl w:val="4E5FA5F4"/>
    <w:lvl w:ilvl="0" w:tentative="0">
      <w:start w:val="5"/>
      <w:numFmt w:val="chineseCounting"/>
      <w:suff w:val="space"/>
      <w:lvlText w:val="第%1部分"/>
      <w:lvlJc w:val="left"/>
      <w:rPr>
        <w:rFonts w:hint="eastAsia"/>
      </w:rPr>
    </w:lvl>
  </w:abstractNum>
  <w:abstractNum w:abstractNumId="4">
    <w:nsid w:val="665E960C"/>
    <w:multiLevelType w:val="singleLevel"/>
    <w:tmpl w:val="665E960C"/>
    <w:lvl w:ilvl="0" w:tentative="0">
      <w:start w:val="6"/>
      <w:numFmt w:val="chineseCounting"/>
      <w:suff w:val="space"/>
      <w:lvlText w:val="第%1部分"/>
      <w:lvlJc w:val="left"/>
      <w:rPr>
        <w:rFonts w:hint="eastAsia"/>
      </w:rPr>
    </w:lvl>
  </w:abstractNum>
  <w:abstractNum w:abstractNumId="5">
    <w:nsid w:val="7CA7A9A3"/>
    <w:multiLevelType w:val="singleLevel"/>
    <w:tmpl w:val="7CA7A9A3"/>
    <w:lvl w:ilvl="0" w:tentative="0">
      <w:start w:val="7"/>
      <w:numFmt w:val="chineseCounting"/>
      <w:suff w:val="space"/>
      <w:lvlText w:val="第%1部分"/>
      <w:lvlJc w:val="left"/>
      <w:rPr>
        <w:rFonts w:hint="eastAsia" w:ascii="方正黑体_GBK" w:hAnsi="方正黑体_GBK" w:eastAsia="方正黑体_GBK" w:cs="方正黑体_GBK"/>
        <w:sz w:val="36"/>
        <w:szCs w:val="36"/>
      </w:rPr>
    </w:lvl>
  </w:abstractNum>
  <w:num w:numId="1">
    <w:abstractNumId w:val="0"/>
  </w:num>
  <w:num w:numId="2">
    <w:abstractNumId w:val="2"/>
  </w:num>
  <w:num w:numId="3">
    <w:abstractNumId w:val="3"/>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62036EF5"/>
    <w:rsid w:val="003A00F1"/>
    <w:rsid w:val="005D2B74"/>
    <w:rsid w:val="006A2CDF"/>
    <w:rsid w:val="00824656"/>
    <w:rsid w:val="0089149E"/>
    <w:rsid w:val="00BA3B9A"/>
    <w:rsid w:val="00D06DB1"/>
    <w:rsid w:val="00D87E07"/>
    <w:rsid w:val="00DB76CE"/>
    <w:rsid w:val="00ED5986"/>
    <w:rsid w:val="00F674C3"/>
    <w:rsid w:val="00FA4BD4"/>
    <w:rsid w:val="012F522D"/>
    <w:rsid w:val="016D5DFF"/>
    <w:rsid w:val="019561C4"/>
    <w:rsid w:val="019B4EB2"/>
    <w:rsid w:val="01A661EB"/>
    <w:rsid w:val="01B071C7"/>
    <w:rsid w:val="01BE1AD6"/>
    <w:rsid w:val="01F32805"/>
    <w:rsid w:val="01FC36D0"/>
    <w:rsid w:val="02005EDF"/>
    <w:rsid w:val="021019CD"/>
    <w:rsid w:val="021A6EB3"/>
    <w:rsid w:val="022419DD"/>
    <w:rsid w:val="02511C4C"/>
    <w:rsid w:val="026D0737"/>
    <w:rsid w:val="027124EB"/>
    <w:rsid w:val="02772CB8"/>
    <w:rsid w:val="02A24098"/>
    <w:rsid w:val="02A276C4"/>
    <w:rsid w:val="02B254DD"/>
    <w:rsid w:val="02B9155B"/>
    <w:rsid w:val="02DA572A"/>
    <w:rsid w:val="02E36611"/>
    <w:rsid w:val="02EA11B0"/>
    <w:rsid w:val="02F7736E"/>
    <w:rsid w:val="03394A49"/>
    <w:rsid w:val="03596777"/>
    <w:rsid w:val="039A5730"/>
    <w:rsid w:val="03C07243"/>
    <w:rsid w:val="03D87B29"/>
    <w:rsid w:val="040B2BF4"/>
    <w:rsid w:val="042B5A10"/>
    <w:rsid w:val="043E22F5"/>
    <w:rsid w:val="0458752F"/>
    <w:rsid w:val="045C18E2"/>
    <w:rsid w:val="0484406B"/>
    <w:rsid w:val="04BB2965"/>
    <w:rsid w:val="04D34D4C"/>
    <w:rsid w:val="05024D05"/>
    <w:rsid w:val="052A0005"/>
    <w:rsid w:val="05475D7B"/>
    <w:rsid w:val="056E47F1"/>
    <w:rsid w:val="05760282"/>
    <w:rsid w:val="057C1E6C"/>
    <w:rsid w:val="059F0813"/>
    <w:rsid w:val="05CF73E6"/>
    <w:rsid w:val="05EF7AF7"/>
    <w:rsid w:val="05FB4AA5"/>
    <w:rsid w:val="061C3F4A"/>
    <w:rsid w:val="063804A8"/>
    <w:rsid w:val="065F4C51"/>
    <w:rsid w:val="068D638D"/>
    <w:rsid w:val="06A20EE6"/>
    <w:rsid w:val="06C66BA2"/>
    <w:rsid w:val="06C70A28"/>
    <w:rsid w:val="06E916CA"/>
    <w:rsid w:val="07000B9A"/>
    <w:rsid w:val="07041F23"/>
    <w:rsid w:val="073C2BFA"/>
    <w:rsid w:val="073C40D7"/>
    <w:rsid w:val="075F0184"/>
    <w:rsid w:val="07803EA4"/>
    <w:rsid w:val="07AD5C06"/>
    <w:rsid w:val="07C03224"/>
    <w:rsid w:val="07CB1B7B"/>
    <w:rsid w:val="07D97E9C"/>
    <w:rsid w:val="07EC2A13"/>
    <w:rsid w:val="07FC5435"/>
    <w:rsid w:val="082247AE"/>
    <w:rsid w:val="082B4881"/>
    <w:rsid w:val="08443130"/>
    <w:rsid w:val="089C060B"/>
    <w:rsid w:val="089C3C1D"/>
    <w:rsid w:val="08A727E0"/>
    <w:rsid w:val="08AA48B0"/>
    <w:rsid w:val="08AB3B28"/>
    <w:rsid w:val="08CE309F"/>
    <w:rsid w:val="08D178F6"/>
    <w:rsid w:val="090D0886"/>
    <w:rsid w:val="091244E3"/>
    <w:rsid w:val="0951795B"/>
    <w:rsid w:val="096F4F10"/>
    <w:rsid w:val="097E6190"/>
    <w:rsid w:val="09877C8F"/>
    <w:rsid w:val="09954F3A"/>
    <w:rsid w:val="09A06EB7"/>
    <w:rsid w:val="09E7711A"/>
    <w:rsid w:val="09FD3614"/>
    <w:rsid w:val="0A5549E0"/>
    <w:rsid w:val="0A761F98"/>
    <w:rsid w:val="0AA13BEF"/>
    <w:rsid w:val="0AA22CEE"/>
    <w:rsid w:val="0ABD092B"/>
    <w:rsid w:val="0ABF00E4"/>
    <w:rsid w:val="0AE47FD8"/>
    <w:rsid w:val="0AF431FC"/>
    <w:rsid w:val="0B1026A5"/>
    <w:rsid w:val="0B262982"/>
    <w:rsid w:val="0B3B56FB"/>
    <w:rsid w:val="0B420794"/>
    <w:rsid w:val="0B4B4E58"/>
    <w:rsid w:val="0B6365E1"/>
    <w:rsid w:val="0B833C74"/>
    <w:rsid w:val="0B882A2F"/>
    <w:rsid w:val="0B9E0B37"/>
    <w:rsid w:val="0C172DB1"/>
    <w:rsid w:val="0C315836"/>
    <w:rsid w:val="0C830B6C"/>
    <w:rsid w:val="0CBF3DD5"/>
    <w:rsid w:val="0CC03ACA"/>
    <w:rsid w:val="0D5C48C3"/>
    <w:rsid w:val="0D6D2D7C"/>
    <w:rsid w:val="0D7C4C56"/>
    <w:rsid w:val="0D7D1AE1"/>
    <w:rsid w:val="0D8D49BA"/>
    <w:rsid w:val="0DA26ED6"/>
    <w:rsid w:val="0DEE5024"/>
    <w:rsid w:val="0E034CA2"/>
    <w:rsid w:val="0E1442E3"/>
    <w:rsid w:val="0E1A3B33"/>
    <w:rsid w:val="0E5B465F"/>
    <w:rsid w:val="0E630F70"/>
    <w:rsid w:val="0E8A561B"/>
    <w:rsid w:val="0EB41D16"/>
    <w:rsid w:val="0EF62BD8"/>
    <w:rsid w:val="0F2D0E59"/>
    <w:rsid w:val="0F5F3D68"/>
    <w:rsid w:val="0F754AB1"/>
    <w:rsid w:val="0F852E02"/>
    <w:rsid w:val="0FA86F34"/>
    <w:rsid w:val="0FB57C7C"/>
    <w:rsid w:val="0FD65A5E"/>
    <w:rsid w:val="0FDD45DA"/>
    <w:rsid w:val="0FF960DA"/>
    <w:rsid w:val="10021211"/>
    <w:rsid w:val="101069DC"/>
    <w:rsid w:val="102671C6"/>
    <w:rsid w:val="10344F5C"/>
    <w:rsid w:val="1057229A"/>
    <w:rsid w:val="10A31DB7"/>
    <w:rsid w:val="10AE44DC"/>
    <w:rsid w:val="10B256DA"/>
    <w:rsid w:val="10BB5630"/>
    <w:rsid w:val="11131517"/>
    <w:rsid w:val="111D76A0"/>
    <w:rsid w:val="11270E97"/>
    <w:rsid w:val="113A05F6"/>
    <w:rsid w:val="11774784"/>
    <w:rsid w:val="11863B82"/>
    <w:rsid w:val="11961CC2"/>
    <w:rsid w:val="11E334FB"/>
    <w:rsid w:val="11EA5AEF"/>
    <w:rsid w:val="11F53D9E"/>
    <w:rsid w:val="12012895"/>
    <w:rsid w:val="12047A0E"/>
    <w:rsid w:val="12232C26"/>
    <w:rsid w:val="12296C15"/>
    <w:rsid w:val="129D7271"/>
    <w:rsid w:val="12E12C73"/>
    <w:rsid w:val="131109C3"/>
    <w:rsid w:val="131E27FF"/>
    <w:rsid w:val="13374D37"/>
    <w:rsid w:val="135C55E2"/>
    <w:rsid w:val="137D3852"/>
    <w:rsid w:val="138D6D5D"/>
    <w:rsid w:val="13A47C48"/>
    <w:rsid w:val="13E41B59"/>
    <w:rsid w:val="13EC6E9A"/>
    <w:rsid w:val="13F078E0"/>
    <w:rsid w:val="13F359C3"/>
    <w:rsid w:val="1423660C"/>
    <w:rsid w:val="14490A88"/>
    <w:rsid w:val="145D6BC3"/>
    <w:rsid w:val="147A68BA"/>
    <w:rsid w:val="148352F7"/>
    <w:rsid w:val="149908B2"/>
    <w:rsid w:val="14B34A2B"/>
    <w:rsid w:val="14B8398E"/>
    <w:rsid w:val="14CF28D1"/>
    <w:rsid w:val="14D36E35"/>
    <w:rsid w:val="150252D2"/>
    <w:rsid w:val="157D60C6"/>
    <w:rsid w:val="158B3C1E"/>
    <w:rsid w:val="15BE3728"/>
    <w:rsid w:val="15D554A4"/>
    <w:rsid w:val="15EE75FE"/>
    <w:rsid w:val="166E0CD9"/>
    <w:rsid w:val="16990EC8"/>
    <w:rsid w:val="169C3010"/>
    <w:rsid w:val="16B92820"/>
    <w:rsid w:val="16FD374C"/>
    <w:rsid w:val="17092027"/>
    <w:rsid w:val="175614FB"/>
    <w:rsid w:val="17863BF3"/>
    <w:rsid w:val="17A17F7A"/>
    <w:rsid w:val="17B932DF"/>
    <w:rsid w:val="17BD6554"/>
    <w:rsid w:val="17CD1075"/>
    <w:rsid w:val="17D209EE"/>
    <w:rsid w:val="181B0907"/>
    <w:rsid w:val="184D1DD1"/>
    <w:rsid w:val="18C248AB"/>
    <w:rsid w:val="18D24720"/>
    <w:rsid w:val="18E11CE8"/>
    <w:rsid w:val="18EA0753"/>
    <w:rsid w:val="18F347BA"/>
    <w:rsid w:val="18FF1D5F"/>
    <w:rsid w:val="1920293C"/>
    <w:rsid w:val="1920632E"/>
    <w:rsid w:val="19536BC1"/>
    <w:rsid w:val="19A45F23"/>
    <w:rsid w:val="19C855FA"/>
    <w:rsid w:val="19D079FA"/>
    <w:rsid w:val="19E62035"/>
    <w:rsid w:val="1A1B2456"/>
    <w:rsid w:val="1A2D4EC4"/>
    <w:rsid w:val="1A327779"/>
    <w:rsid w:val="1A523FCD"/>
    <w:rsid w:val="1A723401"/>
    <w:rsid w:val="1A883F87"/>
    <w:rsid w:val="1AB56CE1"/>
    <w:rsid w:val="1AB92115"/>
    <w:rsid w:val="1AD92132"/>
    <w:rsid w:val="1ADD5DF3"/>
    <w:rsid w:val="1AE44971"/>
    <w:rsid w:val="1B1F6C68"/>
    <w:rsid w:val="1B20354C"/>
    <w:rsid w:val="1B2C3FA6"/>
    <w:rsid w:val="1B471746"/>
    <w:rsid w:val="1B4B5CD1"/>
    <w:rsid w:val="1B712D78"/>
    <w:rsid w:val="1B7B6852"/>
    <w:rsid w:val="1BC74BAC"/>
    <w:rsid w:val="1BD92387"/>
    <w:rsid w:val="1C0E3856"/>
    <w:rsid w:val="1C1A7AA9"/>
    <w:rsid w:val="1C340123"/>
    <w:rsid w:val="1C42159D"/>
    <w:rsid w:val="1C5223F3"/>
    <w:rsid w:val="1C7314B9"/>
    <w:rsid w:val="1C992B9F"/>
    <w:rsid w:val="1CC67080"/>
    <w:rsid w:val="1CD4036A"/>
    <w:rsid w:val="1CE606F7"/>
    <w:rsid w:val="1D2A5D15"/>
    <w:rsid w:val="1D48081E"/>
    <w:rsid w:val="1D9A55EC"/>
    <w:rsid w:val="1DA063E6"/>
    <w:rsid w:val="1DA20A9A"/>
    <w:rsid w:val="1DAB629C"/>
    <w:rsid w:val="1DB20673"/>
    <w:rsid w:val="1DBC0763"/>
    <w:rsid w:val="1DD650DD"/>
    <w:rsid w:val="1DDD1BF8"/>
    <w:rsid w:val="1DF22775"/>
    <w:rsid w:val="1DF72137"/>
    <w:rsid w:val="1E1E04CC"/>
    <w:rsid w:val="1E3740D6"/>
    <w:rsid w:val="1E4C10BB"/>
    <w:rsid w:val="1E5706B6"/>
    <w:rsid w:val="1E595C38"/>
    <w:rsid w:val="1E7C2D44"/>
    <w:rsid w:val="1E8F194D"/>
    <w:rsid w:val="1E985723"/>
    <w:rsid w:val="1EF111D8"/>
    <w:rsid w:val="1EF92540"/>
    <w:rsid w:val="1F242462"/>
    <w:rsid w:val="1F2575A9"/>
    <w:rsid w:val="1F2F151A"/>
    <w:rsid w:val="1F4E746E"/>
    <w:rsid w:val="1F692634"/>
    <w:rsid w:val="1F9F31F2"/>
    <w:rsid w:val="1FA34505"/>
    <w:rsid w:val="1FA80F12"/>
    <w:rsid w:val="1FB57F60"/>
    <w:rsid w:val="1FE1422C"/>
    <w:rsid w:val="1FE23EC0"/>
    <w:rsid w:val="20237F45"/>
    <w:rsid w:val="207D5411"/>
    <w:rsid w:val="20A823A3"/>
    <w:rsid w:val="20CA1F12"/>
    <w:rsid w:val="20CD17B9"/>
    <w:rsid w:val="20D067E3"/>
    <w:rsid w:val="20DD6E74"/>
    <w:rsid w:val="20DD7DA4"/>
    <w:rsid w:val="21214551"/>
    <w:rsid w:val="215A51D1"/>
    <w:rsid w:val="216E234B"/>
    <w:rsid w:val="21AA1144"/>
    <w:rsid w:val="21AC157C"/>
    <w:rsid w:val="21D463E7"/>
    <w:rsid w:val="21EB7268"/>
    <w:rsid w:val="220B0446"/>
    <w:rsid w:val="22357E41"/>
    <w:rsid w:val="223A2ED2"/>
    <w:rsid w:val="22F97D63"/>
    <w:rsid w:val="23000BE0"/>
    <w:rsid w:val="233542C2"/>
    <w:rsid w:val="2349765E"/>
    <w:rsid w:val="234E7A3B"/>
    <w:rsid w:val="23724839"/>
    <w:rsid w:val="23912A51"/>
    <w:rsid w:val="23C91924"/>
    <w:rsid w:val="23EA1617"/>
    <w:rsid w:val="23F45093"/>
    <w:rsid w:val="23F6372F"/>
    <w:rsid w:val="23F87889"/>
    <w:rsid w:val="242D19B8"/>
    <w:rsid w:val="2431211C"/>
    <w:rsid w:val="24712305"/>
    <w:rsid w:val="248C68B9"/>
    <w:rsid w:val="251367C4"/>
    <w:rsid w:val="25360ED6"/>
    <w:rsid w:val="25634FAA"/>
    <w:rsid w:val="25637E76"/>
    <w:rsid w:val="25673569"/>
    <w:rsid w:val="25756A7F"/>
    <w:rsid w:val="25941534"/>
    <w:rsid w:val="25B97332"/>
    <w:rsid w:val="25E61C41"/>
    <w:rsid w:val="263A5FE5"/>
    <w:rsid w:val="264458BD"/>
    <w:rsid w:val="264E2609"/>
    <w:rsid w:val="266B165E"/>
    <w:rsid w:val="267F16A9"/>
    <w:rsid w:val="268545F5"/>
    <w:rsid w:val="26A30666"/>
    <w:rsid w:val="26A37FD6"/>
    <w:rsid w:val="26CF07D2"/>
    <w:rsid w:val="26D42F75"/>
    <w:rsid w:val="26D7755D"/>
    <w:rsid w:val="26DA566E"/>
    <w:rsid w:val="27136A6E"/>
    <w:rsid w:val="271F6022"/>
    <w:rsid w:val="2720349D"/>
    <w:rsid w:val="273E7EE8"/>
    <w:rsid w:val="275F557D"/>
    <w:rsid w:val="27673D2B"/>
    <w:rsid w:val="27724A9C"/>
    <w:rsid w:val="279819CD"/>
    <w:rsid w:val="279C601E"/>
    <w:rsid w:val="27DF38FC"/>
    <w:rsid w:val="28060F58"/>
    <w:rsid w:val="28186E1D"/>
    <w:rsid w:val="281C6C84"/>
    <w:rsid w:val="282C39E4"/>
    <w:rsid w:val="283A3169"/>
    <w:rsid w:val="284D46A7"/>
    <w:rsid w:val="286E12B9"/>
    <w:rsid w:val="28AD6B8C"/>
    <w:rsid w:val="28B6674E"/>
    <w:rsid w:val="28F95BEA"/>
    <w:rsid w:val="290C75CB"/>
    <w:rsid w:val="29650A70"/>
    <w:rsid w:val="29F629D5"/>
    <w:rsid w:val="2A2E5A9E"/>
    <w:rsid w:val="2A710B25"/>
    <w:rsid w:val="2A745F68"/>
    <w:rsid w:val="2A915BC3"/>
    <w:rsid w:val="2A930A9D"/>
    <w:rsid w:val="2B362A4C"/>
    <w:rsid w:val="2B3D0FF3"/>
    <w:rsid w:val="2B433E41"/>
    <w:rsid w:val="2B790964"/>
    <w:rsid w:val="2B7E6C01"/>
    <w:rsid w:val="2B7E70F6"/>
    <w:rsid w:val="2B904223"/>
    <w:rsid w:val="2B9338FE"/>
    <w:rsid w:val="2BC47383"/>
    <w:rsid w:val="2BE00A77"/>
    <w:rsid w:val="2BF17CF5"/>
    <w:rsid w:val="2C2F64E5"/>
    <w:rsid w:val="2C4D4885"/>
    <w:rsid w:val="2C51307F"/>
    <w:rsid w:val="2C525CAF"/>
    <w:rsid w:val="2C67464B"/>
    <w:rsid w:val="2C693AD3"/>
    <w:rsid w:val="2C6E27EA"/>
    <w:rsid w:val="2C6F3337"/>
    <w:rsid w:val="2C7040B1"/>
    <w:rsid w:val="2C831817"/>
    <w:rsid w:val="2C9A100A"/>
    <w:rsid w:val="2CAD539E"/>
    <w:rsid w:val="2CB54F35"/>
    <w:rsid w:val="2CE30954"/>
    <w:rsid w:val="2D0163DF"/>
    <w:rsid w:val="2D2761EB"/>
    <w:rsid w:val="2D321EA8"/>
    <w:rsid w:val="2D466FA3"/>
    <w:rsid w:val="2D8B4161"/>
    <w:rsid w:val="2DAD1AAE"/>
    <w:rsid w:val="2DAF3E40"/>
    <w:rsid w:val="2DFA7A3F"/>
    <w:rsid w:val="2E1361A5"/>
    <w:rsid w:val="2E6F4874"/>
    <w:rsid w:val="2E787C93"/>
    <w:rsid w:val="2EA94DB5"/>
    <w:rsid w:val="2EB901EB"/>
    <w:rsid w:val="2ED22177"/>
    <w:rsid w:val="2EE4207D"/>
    <w:rsid w:val="2F116093"/>
    <w:rsid w:val="2F1C495E"/>
    <w:rsid w:val="2F436CA5"/>
    <w:rsid w:val="2F470416"/>
    <w:rsid w:val="2F57078A"/>
    <w:rsid w:val="2F833532"/>
    <w:rsid w:val="2F8F7BC7"/>
    <w:rsid w:val="2F955B05"/>
    <w:rsid w:val="2FA730F7"/>
    <w:rsid w:val="30026B65"/>
    <w:rsid w:val="302E22CE"/>
    <w:rsid w:val="30416620"/>
    <w:rsid w:val="307060A7"/>
    <w:rsid w:val="307D49E7"/>
    <w:rsid w:val="30A857D7"/>
    <w:rsid w:val="30B10C2B"/>
    <w:rsid w:val="30C67377"/>
    <w:rsid w:val="31093867"/>
    <w:rsid w:val="312C2A52"/>
    <w:rsid w:val="31497072"/>
    <w:rsid w:val="317300E1"/>
    <w:rsid w:val="319C4B04"/>
    <w:rsid w:val="31AD4333"/>
    <w:rsid w:val="31D51D1D"/>
    <w:rsid w:val="31D83752"/>
    <w:rsid w:val="31DB5D52"/>
    <w:rsid w:val="32177CA5"/>
    <w:rsid w:val="32413061"/>
    <w:rsid w:val="325D3DDD"/>
    <w:rsid w:val="326B2E0E"/>
    <w:rsid w:val="328C49EF"/>
    <w:rsid w:val="32992218"/>
    <w:rsid w:val="32D96B9C"/>
    <w:rsid w:val="32DF7690"/>
    <w:rsid w:val="32F95021"/>
    <w:rsid w:val="330E43C8"/>
    <w:rsid w:val="335A6B93"/>
    <w:rsid w:val="33730FDC"/>
    <w:rsid w:val="339E27D6"/>
    <w:rsid w:val="33A57B47"/>
    <w:rsid w:val="33C10913"/>
    <w:rsid w:val="33C470E8"/>
    <w:rsid w:val="33D242D5"/>
    <w:rsid w:val="33FD38FD"/>
    <w:rsid w:val="3403531B"/>
    <w:rsid w:val="340913D0"/>
    <w:rsid w:val="34125DEC"/>
    <w:rsid w:val="341D3E67"/>
    <w:rsid w:val="341D6649"/>
    <w:rsid w:val="34254E5C"/>
    <w:rsid w:val="34504D45"/>
    <w:rsid w:val="3458757C"/>
    <w:rsid w:val="346E234B"/>
    <w:rsid w:val="34955BB2"/>
    <w:rsid w:val="34A53F90"/>
    <w:rsid w:val="34B762AE"/>
    <w:rsid w:val="34CD0646"/>
    <w:rsid w:val="34FB1BBD"/>
    <w:rsid w:val="350B374A"/>
    <w:rsid w:val="35270760"/>
    <w:rsid w:val="353A0EA4"/>
    <w:rsid w:val="353F5AA9"/>
    <w:rsid w:val="35535B9D"/>
    <w:rsid w:val="356F6447"/>
    <w:rsid w:val="35890DC4"/>
    <w:rsid w:val="35A1658D"/>
    <w:rsid w:val="35A87141"/>
    <w:rsid w:val="35B603D7"/>
    <w:rsid w:val="35B70856"/>
    <w:rsid w:val="35E526D7"/>
    <w:rsid w:val="35EC7199"/>
    <w:rsid w:val="35F95507"/>
    <w:rsid w:val="3647097F"/>
    <w:rsid w:val="36615FE2"/>
    <w:rsid w:val="3663331B"/>
    <w:rsid w:val="36715047"/>
    <w:rsid w:val="36795871"/>
    <w:rsid w:val="36831626"/>
    <w:rsid w:val="368D7224"/>
    <w:rsid w:val="36A142E0"/>
    <w:rsid w:val="36B75E3B"/>
    <w:rsid w:val="36E83689"/>
    <w:rsid w:val="37375B52"/>
    <w:rsid w:val="374A41CE"/>
    <w:rsid w:val="37761E59"/>
    <w:rsid w:val="37AB5C1C"/>
    <w:rsid w:val="37B16277"/>
    <w:rsid w:val="37CB3340"/>
    <w:rsid w:val="37D741F7"/>
    <w:rsid w:val="37E972CA"/>
    <w:rsid w:val="37F40EF9"/>
    <w:rsid w:val="38272D22"/>
    <w:rsid w:val="382F7716"/>
    <w:rsid w:val="383B68FD"/>
    <w:rsid w:val="38451C26"/>
    <w:rsid w:val="389B42F2"/>
    <w:rsid w:val="38B81C51"/>
    <w:rsid w:val="38E03C68"/>
    <w:rsid w:val="38E726E0"/>
    <w:rsid w:val="39047812"/>
    <w:rsid w:val="390768CD"/>
    <w:rsid w:val="395C23E0"/>
    <w:rsid w:val="397550F6"/>
    <w:rsid w:val="39843A92"/>
    <w:rsid w:val="39A267F5"/>
    <w:rsid w:val="39E112F6"/>
    <w:rsid w:val="39F431C2"/>
    <w:rsid w:val="39F5319F"/>
    <w:rsid w:val="39F57DF4"/>
    <w:rsid w:val="3A224CD1"/>
    <w:rsid w:val="3A395BF6"/>
    <w:rsid w:val="3A5717E6"/>
    <w:rsid w:val="3A593F9C"/>
    <w:rsid w:val="3A6E46AF"/>
    <w:rsid w:val="3A8E0FB7"/>
    <w:rsid w:val="3A9F248A"/>
    <w:rsid w:val="3AAF6E77"/>
    <w:rsid w:val="3AB31CB0"/>
    <w:rsid w:val="3AB41CB4"/>
    <w:rsid w:val="3ADC29EF"/>
    <w:rsid w:val="3AF042B0"/>
    <w:rsid w:val="3B0721AD"/>
    <w:rsid w:val="3B17563B"/>
    <w:rsid w:val="3B1E7CDC"/>
    <w:rsid w:val="3B2858B6"/>
    <w:rsid w:val="3B2A549B"/>
    <w:rsid w:val="3B5A1B8A"/>
    <w:rsid w:val="3B657E0B"/>
    <w:rsid w:val="3B705BA2"/>
    <w:rsid w:val="3BE706F1"/>
    <w:rsid w:val="3C2B6D87"/>
    <w:rsid w:val="3C646A8C"/>
    <w:rsid w:val="3CD14C36"/>
    <w:rsid w:val="3CE90492"/>
    <w:rsid w:val="3D0254B3"/>
    <w:rsid w:val="3D07146C"/>
    <w:rsid w:val="3D210F01"/>
    <w:rsid w:val="3D22302A"/>
    <w:rsid w:val="3D32465C"/>
    <w:rsid w:val="3D3E33AE"/>
    <w:rsid w:val="3D436104"/>
    <w:rsid w:val="3D734FCD"/>
    <w:rsid w:val="3D9D32EE"/>
    <w:rsid w:val="3DC47A8A"/>
    <w:rsid w:val="3E0A6EC5"/>
    <w:rsid w:val="3E177BBB"/>
    <w:rsid w:val="3E1E51D0"/>
    <w:rsid w:val="3E7F1FB3"/>
    <w:rsid w:val="3E844E21"/>
    <w:rsid w:val="3E990A57"/>
    <w:rsid w:val="3E9C2E29"/>
    <w:rsid w:val="3E9D107D"/>
    <w:rsid w:val="3EB362A1"/>
    <w:rsid w:val="3EBA0FE0"/>
    <w:rsid w:val="3EC57141"/>
    <w:rsid w:val="3EF66059"/>
    <w:rsid w:val="3F1518EB"/>
    <w:rsid w:val="3F240978"/>
    <w:rsid w:val="3F315E51"/>
    <w:rsid w:val="3F425A49"/>
    <w:rsid w:val="3F4717A0"/>
    <w:rsid w:val="3F7E57E1"/>
    <w:rsid w:val="3F9C1C23"/>
    <w:rsid w:val="3FC0235A"/>
    <w:rsid w:val="3FC90157"/>
    <w:rsid w:val="3FD45E89"/>
    <w:rsid w:val="3FF44BE9"/>
    <w:rsid w:val="3FF7641C"/>
    <w:rsid w:val="401E5C22"/>
    <w:rsid w:val="4026266F"/>
    <w:rsid w:val="404E02C9"/>
    <w:rsid w:val="404F67AA"/>
    <w:rsid w:val="408C0DEA"/>
    <w:rsid w:val="40CC0462"/>
    <w:rsid w:val="40E25E54"/>
    <w:rsid w:val="410C0280"/>
    <w:rsid w:val="412944DF"/>
    <w:rsid w:val="41383B1C"/>
    <w:rsid w:val="4141158B"/>
    <w:rsid w:val="415442CD"/>
    <w:rsid w:val="415D329F"/>
    <w:rsid w:val="41824ED2"/>
    <w:rsid w:val="41C22993"/>
    <w:rsid w:val="41C7562E"/>
    <w:rsid w:val="41DE4E43"/>
    <w:rsid w:val="423E4FA3"/>
    <w:rsid w:val="42414294"/>
    <w:rsid w:val="42574D74"/>
    <w:rsid w:val="429E4CE7"/>
    <w:rsid w:val="42A05B5B"/>
    <w:rsid w:val="42BD668F"/>
    <w:rsid w:val="42D479D6"/>
    <w:rsid w:val="42EB101F"/>
    <w:rsid w:val="42F1436C"/>
    <w:rsid w:val="430706ED"/>
    <w:rsid w:val="43131AE1"/>
    <w:rsid w:val="43173ACA"/>
    <w:rsid w:val="43182454"/>
    <w:rsid w:val="432F5702"/>
    <w:rsid w:val="43783A48"/>
    <w:rsid w:val="43863256"/>
    <w:rsid w:val="439A3449"/>
    <w:rsid w:val="43C070C1"/>
    <w:rsid w:val="43CD6976"/>
    <w:rsid w:val="43E560A8"/>
    <w:rsid w:val="43EF6D5C"/>
    <w:rsid w:val="44210B09"/>
    <w:rsid w:val="443E3D18"/>
    <w:rsid w:val="44887764"/>
    <w:rsid w:val="448C4433"/>
    <w:rsid w:val="449A4D15"/>
    <w:rsid w:val="449D3E7E"/>
    <w:rsid w:val="44AA5DEA"/>
    <w:rsid w:val="44B21147"/>
    <w:rsid w:val="44BE4E7B"/>
    <w:rsid w:val="44DC1DF7"/>
    <w:rsid w:val="45172FC5"/>
    <w:rsid w:val="452C4BFF"/>
    <w:rsid w:val="454F112C"/>
    <w:rsid w:val="458F7B52"/>
    <w:rsid w:val="459A1B0A"/>
    <w:rsid w:val="45A338D5"/>
    <w:rsid w:val="45C56686"/>
    <w:rsid w:val="45C81B73"/>
    <w:rsid w:val="45D829C4"/>
    <w:rsid w:val="46033FBC"/>
    <w:rsid w:val="46277920"/>
    <w:rsid w:val="462D5E08"/>
    <w:rsid w:val="462F4F0C"/>
    <w:rsid w:val="465D50DF"/>
    <w:rsid w:val="467F4AF1"/>
    <w:rsid w:val="46BC4F25"/>
    <w:rsid w:val="46D17995"/>
    <w:rsid w:val="46D91FCD"/>
    <w:rsid w:val="46E668F7"/>
    <w:rsid w:val="46E95A67"/>
    <w:rsid w:val="46F53289"/>
    <w:rsid w:val="4723254D"/>
    <w:rsid w:val="476008DB"/>
    <w:rsid w:val="47942326"/>
    <w:rsid w:val="47BA35E5"/>
    <w:rsid w:val="47CB0994"/>
    <w:rsid w:val="47DF096D"/>
    <w:rsid w:val="47F50F21"/>
    <w:rsid w:val="481D445A"/>
    <w:rsid w:val="48262558"/>
    <w:rsid w:val="484C7281"/>
    <w:rsid w:val="48CC6E44"/>
    <w:rsid w:val="48D21F07"/>
    <w:rsid w:val="48F937F6"/>
    <w:rsid w:val="490509B6"/>
    <w:rsid w:val="491A7BF3"/>
    <w:rsid w:val="491F1034"/>
    <w:rsid w:val="493D589A"/>
    <w:rsid w:val="493E4BFE"/>
    <w:rsid w:val="496D133C"/>
    <w:rsid w:val="499B4E73"/>
    <w:rsid w:val="49AB571B"/>
    <w:rsid w:val="49AD4C8C"/>
    <w:rsid w:val="4A2511FE"/>
    <w:rsid w:val="4A4F09C7"/>
    <w:rsid w:val="4A707B99"/>
    <w:rsid w:val="4AAB11E7"/>
    <w:rsid w:val="4AB002F9"/>
    <w:rsid w:val="4AB85843"/>
    <w:rsid w:val="4ABB19C4"/>
    <w:rsid w:val="4AC921E9"/>
    <w:rsid w:val="4AD111E7"/>
    <w:rsid w:val="4ADA1D7C"/>
    <w:rsid w:val="4ADC085D"/>
    <w:rsid w:val="4AF53438"/>
    <w:rsid w:val="4B115438"/>
    <w:rsid w:val="4B196DE9"/>
    <w:rsid w:val="4B29568C"/>
    <w:rsid w:val="4B4D6C06"/>
    <w:rsid w:val="4B597946"/>
    <w:rsid w:val="4B775B45"/>
    <w:rsid w:val="4B8509C1"/>
    <w:rsid w:val="4BD52DE2"/>
    <w:rsid w:val="4C3A350A"/>
    <w:rsid w:val="4C4264B5"/>
    <w:rsid w:val="4C6176DA"/>
    <w:rsid w:val="4C695ACA"/>
    <w:rsid w:val="4C726650"/>
    <w:rsid w:val="4C775F54"/>
    <w:rsid w:val="4CA3119C"/>
    <w:rsid w:val="4CAA0515"/>
    <w:rsid w:val="4CF105BC"/>
    <w:rsid w:val="4D3177F5"/>
    <w:rsid w:val="4D4A2D99"/>
    <w:rsid w:val="4D5C68BA"/>
    <w:rsid w:val="4D6E4D26"/>
    <w:rsid w:val="4D6F0A2E"/>
    <w:rsid w:val="4D9045AF"/>
    <w:rsid w:val="4D935AE7"/>
    <w:rsid w:val="4DE74CD3"/>
    <w:rsid w:val="4E1C3960"/>
    <w:rsid w:val="4E207E26"/>
    <w:rsid w:val="4E483758"/>
    <w:rsid w:val="4E51215E"/>
    <w:rsid w:val="4E6358FE"/>
    <w:rsid w:val="4E6F0D56"/>
    <w:rsid w:val="4E6F51FA"/>
    <w:rsid w:val="4EFD47BC"/>
    <w:rsid w:val="4F314BCD"/>
    <w:rsid w:val="4F367AC5"/>
    <w:rsid w:val="4F3F4B59"/>
    <w:rsid w:val="4F4B33DC"/>
    <w:rsid w:val="4F6528EC"/>
    <w:rsid w:val="4F76722A"/>
    <w:rsid w:val="4FBF6DE2"/>
    <w:rsid w:val="4FE426F0"/>
    <w:rsid w:val="4FE81FB0"/>
    <w:rsid w:val="501B0899"/>
    <w:rsid w:val="50296F3D"/>
    <w:rsid w:val="503731DA"/>
    <w:rsid w:val="504205EF"/>
    <w:rsid w:val="505F0152"/>
    <w:rsid w:val="50C92B15"/>
    <w:rsid w:val="50CD5367"/>
    <w:rsid w:val="50D40CEB"/>
    <w:rsid w:val="50D73845"/>
    <w:rsid w:val="511421ED"/>
    <w:rsid w:val="51166940"/>
    <w:rsid w:val="512154BD"/>
    <w:rsid w:val="512A1EFA"/>
    <w:rsid w:val="51576579"/>
    <w:rsid w:val="51611279"/>
    <w:rsid w:val="516369CA"/>
    <w:rsid w:val="517A1653"/>
    <w:rsid w:val="51925D80"/>
    <w:rsid w:val="51AA3D7E"/>
    <w:rsid w:val="51BC0348"/>
    <w:rsid w:val="51BF095F"/>
    <w:rsid w:val="51C15FAD"/>
    <w:rsid w:val="51E82CE0"/>
    <w:rsid w:val="51F30884"/>
    <w:rsid w:val="521D146C"/>
    <w:rsid w:val="5234072E"/>
    <w:rsid w:val="525E1C07"/>
    <w:rsid w:val="527E546C"/>
    <w:rsid w:val="52832978"/>
    <w:rsid w:val="528C1DD0"/>
    <w:rsid w:val="52946FDD"/>
    <w:rsid w:val="52CC4C43"/>
    <w:rsid w:val="52D44390"/>
    <w:rsid w:val="53111D9E"/>
    <w:rsid w:val="53230004"/>
    <w:rsid w:val="533E6B62"/>
    <w:rsid w:val="534B00FA"/>
    <w:rsid w:val="534C54DF"/>
    <w:rsid w:val="53875D0B"/>
    <w:rsid w:val="53C43B24"/>
    <w:rsid w:val="53E15D6B"/>
    <w:rsid w:val="54046DFD"/>
    <w:rsid w:val="54072620"/>
    <w:rsid w:val="540D4277"/>
    <w:rsid w:val="541A7964"/>
    <w:rsid w:val="544D7E76"/>
    <w:rsid w:val="5458244B"/>
    <w:rsid w:val="545E21E7"/>
    <w:rsid w:val="549275C2"/>
    <w:rsid w:val="54AE1BD0"/>
    <w:rsid w:val="55196136"/>
    <w:rsid w:val="551A6EA8"/>
    <w:rsid w:val="55506962"/>
    <w:rsid w:val="55555E8A"/>
    <w:rsid w:val="555573E9"/>
    <w:rsid w:val="557650C0"/>
    <w:rsid w:val="557D6858"/>
    <w:rsid w:val="558234A8"/>
    <w:rsid w:val="559754FC"/>
    <w:rsid w:val="559968CA"/>
    <w:rsid w:val="559D7F94"/>
    <w:rsid w:val="55A34B2A"/>
    <w:rsid w:val="55BA0EB1"/>
    <w:rsid w:val="55BB3D48"/>
    <w:rsid w:val="55CC214F"/>
    <w:rsid w:val="55CD78A1"/>
    <w:rsid w:val="55D411A2"/>
    <w:rsid w:val="55D43A8B"/>
    <w:rsid w:val="55F6412F"/>
    <w:rsid w:val="561829B0"/>
    <w:rsid w:val="563469A9"/>
    <w:rsid w:val="5640190F"/>
    <w:rsid w:val="564106EC"/>
    <w:rsid w:val="56517F92"/>
    <w:rsid w:val="565C76CB"/>
    <w:rsid w:val="566462FB"/>
    <w:rsid w:val="56687039"/>
    <w:rsid w:val="56793329"/>
    <w:rsid w:val="569C7F25"/>
    <w:rsid w:val="56BE121F"/>
    <w:rsid w:val="56F84A4B"/>
    <w:rsid w:val="5724407D"/>
    <w:rsid w:val="57407918"/>
    <w:rsid w:val="57544F8D"/>
    <w:rsid w:val="575D7F59"/>
    <w:rsid w:val="576A13BA"/>
    <w:rsid w:val="5788324A"/>
    <w:rsid w:val="579545C5"/>
    <w:rsid w:val="57A35148"/>
    <w:rsid w:val="57CA2AAE"/>
    <w:rsid w:val="57F35B7A"/>
    <w:rsid w:val="58176BD7"/>
    <w:rsid w:val="58186A70"/>
    <w:rsid w:val="58275950"/>
    <w:rsid w:val="5833667D"/>
    <w:rsid w:val="58A9693C"/>
    <w:rsid w:val="58C63C68"/>
    <w:rsid w:val="58DF0C52"/>
    <w:rsid w:val="58EF3A66"/>
    <w:rsid w:val="590B317E"/>
    <w:rsid w:val="59463B06"/>
    <w:rsid w:val="594B19B7"/>
    <w:rsid w:val="597615A6"/>
    <w:rsid w:val="597C6A1D"/>
    <w:rsid w:val="59B71722"/>
    <w:rsid w:val="59BB4918"/>
    <w:rsid w:val="59D4356F"/>
    <w:rsid w:val="59EA290D"/>
    <w:rsid w:val="59F36842"/>
    <w:rsid w:val="59F9285D"/>
    <w:rsid w:val="5A2E5154"/>
    <w:rsid w:val="5A427DAE"/>
    <w:rsid w:val="5A457FC8"/>
    <w:rsid w:val="5A712672"/>
    <w:rsid w:val="5A827842"/>
    <w:rsid w:val="5ACF5FCB"/>
    <w:rsid w:val="5AD25694"/>
    <w:rsid w:val="5AD66A7C"/>
    <w:rsid w:val="5B020B93"/>
    <w:rsid w:val="5B0B3CDA"/>
    <w:rsid w:val="5B857B2C"/>
    <w:rsid w:val="5BA51563"/>
    <w:rsid w:val="5BF728F3"/>
    <w:rsid w:val="5C1F6CFB"/>
    <w:rsid w:val="5C4355CD"/>
    <w:rsid w:val="5C615CD1"/>
    <w:rsid w:val="5CB71524"/>
    <w:rsid w:val="5CBA6BA1"/>
    <w:rsid w:val="5CD6256B"/>
    <w:rsid w:val="5CF41E52"/>
    <w:rsid w:val="5CFE5A30"/>
    <w:rsid w:val="5D725CE8"/>
    <w:rsid w:val="5D8617AC"/>
    <w:rsid w:val="5D8C565F"/>
    <w:rsid w:val="5E1D0449"/>
    <w:rsid w:val="5E1E4229"/>
    <w:rsid w:val="5E37325F"/>
    <w:rsid w:val="5E4C7B3E"/>
    <w:rsid w:val="5E515B81"/>
    <w:rsid w:val="5E830E3B"/>
    <w:rsid w:val="5E963377"/>
    <w:rsid w:val="5E967715"/>
    <w:rsid w:val="5E9733FC"/>
    <w:rsid w:val="5E9A2B78"/>
    <w:rsid w:val="5EB32DF9"/>
    <w:rsid w:val="5ED22E03"/>
    <w:rsid w:val="5F26484A"/>
    <w:rsid w:val="5F463BE9"/>
    <w:rsid w:val="5F6757D4"/>
    <w:rsid w:val="5F796BB3"/>
    <w:rsid w:val="5F7D5EA6"/>
    <w:rsid w:val="5F847E04"/>
    <w:rsid w:val="5FCA50BC"/>
    <w:rsid w:val="5FCE3D60"/>
    <w:rsid w:val="5FD86C07"/>
    <w:rsid w:val="5FDF15F4"/>
    <w:rsid w:val="600A0562"/>
    <w:rsid w:val="602A1021"/>
    <w:rsid w:val="60326EE6"/>
    <w:rsid w:val="603F50B7"/>
    <w:rsid w:val="60533BC0"/>
    <w:rsid w:val="605B06D8"/>
    <w:rsid w:val="605C71DD"/>
    <w:rsid w:val="605F525B"/>
    <w:rsid w:val="60857625"/>
    <w:rsid w:val="60870DB4"/>
    <w:rsid w:val="60BA7409"/>
    <w:rsid w:val="60D108AC"/>
    <w:rsid w:val="610408B9"/>
    <w:rsid w:val="61103E22"/>
    <w:rsid w:val="6113451C"/>
    <w:rsid w:val="61153909"/>
    <w:rsid w:val="612873C9"/>
    <w:rsid w:val="61362510"/>
    <w:rsid w:val="614F2D51"/>
    <w:rsid w:val="61930DA7"/>
    <w:rsid w:val="61A72286"/>
    <w:rsid w:val="61B054B5"/>
    <w:rsid w:val="61E0285A"/>
    <w:rsid w:val="61EB35EE"/>
    <w:rsid w:val="61FE1FAC"/>
    <w:rsid w:val="62036EF5"/>
    <w:rsid w:val="6219557C"/>
    <w:rsid w:val="622A5FDF"/>
    <w:rsid w:val="62396CEC"/>
    <w:rsid w:val="626E1CBD"/>
    <w:rsid w:val="62804031"/>
    <w:rsid w:val="62925F9A"/>
    <w:rsid w:val="62B00278"/>
    <w:rsid w:val="62B0298C"/>
    <w:rsid w:val="62C85E72"/>
    <w:rsid w:val="630458A9"/>
    <w:rsid w:val="63214951"/>
    <w:rsid w:val="6342693A"/>
    <w:rsid w:val="63854BBD"/>
    <w:rsid w:val="6389206E"/>
    <w:rsid w:val="63CF1ADB"/>
    <w:rsid w:val="63FB7350"/>
    <w:rsid w:val="64303911"/>
    <w:rsid w:val="643407A7"/>
    <w:rsid w:val="645C36D2"/>
    <w:rsid w:val="648019F7"/>
    <w:rsid w:val="64975227"/>
    <w:rsid w:val="64E569EE"/>
    <w:rsid w:val="64E616CF"/>
    <w:rsid w:val="654E7DA8"/>
    <w:rsid w:val="657C6531"/>
    <w:rsid w:val="65E8544F"/>
    <w:rsid w:val="65F50C6D"/>
    <w:rsid w:val="660F381F"/>
    <w:rsid w:val="66153741"/>
    <w:rsid w:val="66181EE6"/>
    <w:rsid w:val="664A77B9"/>
    <w:rsid w:val="66573387"/>
    <w:rsid w:val="6658554E"/>
    <w:rsid w:val="66720F9F"/>
    <w:rsid w:val="66C2677C"/>
    <w:rsid w:val="66E31703"/>
    <w:rsid w:val="670C02A2"/>
    <w:rsid w:val="670C19DF"/>
    <w:rsid w:val="674B6075"/>
    <w:rsid w:val="67CC6DC1"/>
    <w:rsid w:val="67E2596F"/>
    <w:rsid w:val="67FB0752"/>
    <w:rsid w:val="684D3AE6"/>
    <w:rsid w:val="685E2C05"/>
    <w:rsid w:val="687D1837"/>
    <w:rsid w:val="68983832"/>
    <w:rsid w:val="68D26439"/>
    <w:rsid w:val="68DC495B"/>
    <w:rsid w:val="68ED73D7"/>
    <w:rsid w:val="68F94239"/>
    <w:rsid w:val="693B41FE"/>
    <w:rsid w:val="696C1AFA"/>
    <w:rsid w:val="69975435"/>
    <w:rsid w:val="69994CD7"/>
    <w:rsid w:val="69A2408F"/>
    <w:rsid w:val="69AF353D"/>
    <w:rsid w:val="69BB6517"/>
    <w:rsid w:val="69DD0754"/>
    <w:rsid w:val="69EA4EC5"/>
    <w:rsid w:val="69EF3F3A"/>
    <w:rsid w:val="69FE01D9"/>
    <w:rsid w:val="6A0D1408"/>
    <w:rsid w:val="6A0E3D45"/>
    <w:rsid w:val="6A313C5B"/>
    <w:rsid w:val="6A7C0DE0"/>
    <w:rsid w:val="6A8E470C"/>
    <w:rsid w:val="6AFD06C6"/>
    <w:rsid w:val="6B006F6F"/>
    <w:rsid w:val="6B020DCB"/>
    <w:rsid w:val="6B380BB3"/>
    <w:rsid w:val="6B445EA4"/>
    <w:rsid w:val="6B896689"/>
    <w:rsid w:val="6BA3342A"/>
    <w:rsid w:val="6BB615E2"/>
    <w:rsid w:val="6BCD6A66"/>
    <w:rsid w:val="6C1467D0"/>
    <w:rsid w:val="6C394F56"/>
    <w:rsid w:val="6C4441E9"/>
    <w:rsid w:val="6C5C57AD"/>
    <w:rsid w:val="6C7159EF"/>
    <w:rsid w:val="6C8D6697"/>
    <w:rsid w:val="6CC761C2"/>
    <w:rsid w:val="6CD23406"/>
    <w:rsid w:val="6CDB5F7E"/>
    <w:rsid w:val="6D27740D"/>
    <w:rsid w:val="6D440FFB"/>
    <w:rsid w:val="6D617ED6"/>
    <w:rsid w:val="6D94675B"/>
    <w:rsid w:val="6DCA4B91"/>
    <w:rsid w:val="6DCA6E33"/>
    <w:rsid w:val="6E2F44FA"/>
    <w:rsid w:val="6E631174"/>
    <w:rsid w:val="6E6C3889"/>
    <w:rsid w:val="6E6E7295"/>
    <w:rsid w:val="6E890C98"/>
    <w:rsid w:val="6E966788"/>
    <w:rsid w:val="6E9B2042"/>
    <w:rsid w:val="6EB4557C"/>
    <w:rsid w:val="6EC014E2"/>
    <w:rsid w:val="6EC241DD"/>
    <w:rsid w:val="6EDD57E7"/>
    <w:rsid w:val="6EF42AB9"/>
    <w:rsid w:val="6F1120B7"/>
    <w:rsid w:val="6F1327FF"/>
    <w:rsid w:val="6F1D0789"/>
    <w:rsid w:val="6F763FAB"/>
    <w:rsid w:val="6FC12043"/>
    <w:rsid w:val="6FCD10B0"/>
    <w:rsid w:val="6FD8398E"/>
    <w:rsid w:val="6FD914EF"/>
    <w:rsid w:val="6FF355F2"/>
    <w:rsid w:val="6FF359D3"/>
    <w:rsid w:val="701078D8"/>
    <w:rsid w:val="701B119D"/>
    <w:rsid w:val="702102D0"/>
    <w:rsid w:val="70552BCC"/>
    <w:rsid w:val="70561295"/>
    <w:rsid w:val="705636CC"/>
    <w:rsid w:val="7084438E"/>
    <w:rsid w:val="709F3991"/>
    <w:rsid w:val="70BA6A2A"/>
    <w:rsid w:val="70CA0E2A"/>
    <w:rsid w:val="70F204B7"/>
    <w:rsid w:val="70F27D6E"/>
    <w:rsid w:val="71297C7B"/>
    <w:rsid w:val="713161FA"/>
    <w:rsid w:val="714E37F7"/>
    <w:rsid w:val="717030D1"/>
    <w:rsid w:val="71771B4C"/>
    <w:rsid w:val="71AC3659"/>
    <w:rsid w:val="71B26D2E"/>
    <w:rsid w:val="71E954BB"/>
    <w:rsid w:val="72026398"/>
    <w:rsid w:val="721E5031"/>
    <w:rsid w:val="7284646E"/>
    <w:rsid w:val="72871A87"/>
    <w:rsid w:val="728C5B85"/>
    <w:rsid w:val="72BA5D1A"/>
    <w:rsid w:val="72DE1713"/>
    <w:rsid w:val="730E1E7E"/>
    <w:rsid w:val="73225265"/>
    <w:rsid w:val="733350CC"/>
    <w:rsid w:val="73357A0F"/>
    <w:rsid w:val="73384B07"/>
    <w:rsid w:val="73510002"/>
    <w:rsid w:val="73B22013"/>
    <w:rsid w:val="73B23E5A"/>
    <w:rsid w:val="73BE2161"/>
    <w:rsid w:val="73C64C3C"/>
    <w:rsid w:val="73E11923"/>
    <w:rsid w:val="73F71E41"/>
    <w:rsid w:val="7413087E"/>
    <w:rsid w:val="74186389"/>
    <w:rsid w:val="741B513C"/>
    <w:rsid w:val="7429795D"/>
    <w:rsid w:val="743A54AA"/>
    <w:rsid w:val="74550B86"/>
    <w:rsid w:val="74570F0C"/>
    <w:rsid w:val="74636109"/>
    <w:rsid w:val="74C71C00"/>
    <w:rsid w:val="74FF7A14"/>
    <w:rsid w:val="75100CC5"/>
    <w:rsid w:val="755D2EE4"/>
    <w:rsid w:val="75885375"/>
    <w:rsid w:val="758A78FA"/>
    <w:rsid w:val="75D63F61"/>
    <w:rsid w:val="75D8290F"/>
    <w:rsid w:val="75E545F8"/>
    <w:rsid w:val="75EF05E4"/>
    <w:rsid w:val="75F162DC"/>
    <w:rsid w:val="75FC50C4"/>
    <w:rsid w:val="76012321"/>
    <w:rsid w:val="7604345A"/>
    <w:rsid w:val="760826ED"/>
    <w:rsid w:val="760A41E9"/>
    <w:rsid w:val="761B6D7A"/>
    <w:rsid w:val="764F2F30"/>
    <w:rsid w:val="765360B8"/>
    <w:rsid w:val="76536ECA"/>
    <w:rsid w:val="765E18DA"/>
    <w:rsid w:val="766307FD"/>
    <w:rsid w:val="76633F0A"/>
    <w:rsid w:val="76B6740F"/>
    <w:rsid w:val="76C96870"/>
    <w:rsid w:val="76CB6761"/>
    <w:rsid w:val="76D10215"/>
    <w:rsid w:val="76DD409B"/>
    <w:rsid w:val="76E76278"/>
    <w:rsid w:val="76EC1EAA"/>
    <w:rsid w:val="76ED614F"/>
    <w:rsid w:val="76F159D1"/>
    <w:rsid w:val="76F46096"/>
    <w:rsid w:val="770A7D20"/>
    <w:rsid w:val="772279F5"/>
    <w:rsid w:val="773A71BC"/>
    <w:rsid w:val="774D2FF9"/>
    <w:rsid w:val="77625FC5"/>
    <w:rsid w:val="77BB0132"/>
    <w:rsid w:val="77D50318"/>
    <w:rsid w:val="77E50810"/>
    <w:rsid w:val="78117F61"/>
    <w:rsid w:val="782F561A"/>
    <w:rsid w:val="78315097"/>
    <w:rsid w:val="785542A8"/>
    <w:rsid w:val="78706A7D"/>
    <w:rsid w:val="78AC1155"/>
    <w:rsid w:val="796E7ADE"/>
    <w:rsid w:val="79721275"/>
    <w:rsid w:val="799713DA"/>
    <w:rsid w:val="79B36CC3"/>
    <w:rsid w:val="79CA3977"/>
    <w:rsid w:val="79D92E11"/>
    <w:rsid w:val="7A033B76"/>
    <w:rsid w:val="7A261C5B"/>
    <w:rsid w:val="7A2842FD"/>
    <w:rsid w:val="7A3F5056"/>
    <w:rsid w:val="7A6029D5"/>
    <w:rsid w:val="7A8022CA"/>
    <w:rsid w:val="7AA232CE"/>
    <w:rsid w:val="7ADD3BDE"/>
    <w:rsid w:val="7B095E9F"/>
    <w:rsid w:val="7B170FEC"/>
    <w:rsid w:val="7B1C3DDA"/>
    <w:rsid w:val="7B3F53D1"/>
    <w:rsid w:val="7B445D2C"/>
    <w:rsid w:val="7B673367"/>
    <w:rsid w:val="7B8D6B68"/>
    <w:rsid w:val="7B8F6244"/>
    <w:rsid w:val="7B9230BB"/>
    <w:rsid w:val="7B9F2AA9"/>
    <w:rsid w:val="7BDF0F5C"/>
    <w:rsid w:val="7C3C33F6"/>
    <w:rsid w:val="7C8306A2"/>
    <w:rsid w:val="7CA53A11"/>
    <w:rsid w:val="7D182F1D"/>
    <w:rsid w:val="7D256264"/>
    <w:rsid w:val="7D3D41D1"/>
    <w:rsid w:val="7D5E7E8E"/>
    <w:rsid w:val="7D747865"/>
    <w:rsid w:val="7D7E37CD"/>
    <w:rsid w:val="7D9C060D"/>
    <w:rsid w:val="7DDB7377"/>
    <w:rsid w:val="7DE0139B"/>
    <w:rsid w:val="7DEB1465"/>
    <w:rsid w:val="7DF7016D"/>
    <w:rsid w:val="7E0F386A"/>
    <w:rsid w:val="7E141D46"/>
    <w:rsid w:val="7E3D0F72"/>
    <w:rsid w:val="7E50694E"/>
    <w:rsid w:val="7E790905"/>
    <w:rsid w:val="7E8F32B0"/>
    <w:rsid w:val="7EC3289E"/>
    <w:rsid w:val="7EF00186"/>
    <w:rsid w:val="7F01544A"/>
    <w:rsid w:val="7F06598D"/>
    <w:rsid w:val="7F2C54AA"/>
    <w:rsid w:val="7F3E6D33"/>
    <w:rsid w:val="7F420785"/>
    <w:rsid w:val="7F5C4D69"/>
    <w:rsid w:val="7F93455B"/>
    <w:rsid w:val="7FB70A5B"/>
    <w:rsid w:val="7FE27B81"/>
    <w:rsid w:val="BF977AB3"/>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unhideWhenUsed/>
    <w:qFormat/>
    <w:uiPriority w:val="0"/>
    <w:pPr>
      <w:ind w:left="1277"/>
      <w:outlineLvl w:val="1"/>
    </w:pPr>
    <w:rPr>
      <w:rFonts w:ascii="仿宋_GB2312" w:hAnsi="仿宋_GB2312" w:eastAsia="仿宋_GB2312" w:cs="仿宋_GB2312"/>
      <w:b/>
      <w:bCs/>
      <w:sz w:val="32"/>
      <w:szCs w:val="32"/>
      <w:lang w:val="zh-CN" w:eastAsia="zh-CN" w:bidi="zh-CN"/>
    </w:rPr>
  </w:style>
  <w:style w:type="paragraph" w:styleId="2">
    <w:name w:val="heading 3"/>
    <w:basedOn w:val="1"/>
    <w:next w:val="1"/>
    <w:unhideWhenUsed/>
    <w:qFormat/>
    <w:uiPriority w:val="0"/>
    <w:pPr>
      <w:spacing w:before="20" w:after="20" w:line="360" w:lineRule="auto"/>
      <w:ind w:firstLine="643" w:firstLineChars="200"/>
      <w:outlineLvl w:val="2"/>
    </w:p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rPr>
      <w:rFonts w:ascii="方正仿宋_GBK" w:hAnsi="方正仿宋_GBK" w:eastAsia="方正仿宋_GBK" w:cs="方正仿宋_GBK"/>
      <w:sz w:val="32"/>
      <w:szCs w:val="32"/>
      <w:lang w:val="zh-CN" w:eastAsia="zh-CN" w:bidi="zh-CN"/>
    </w:r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font71"/>
    <w:basedOn w:val="10"/>
    <w:qFormat/>
    <w:uiPriority w:val="0"/>
    <w:rPr>
      <w:rFonts w:hint="default" w:ascii="Times New Roman" w:hAnsi="Times New Roman" w:cs="Times New Roman"/>
      <w:color w:val="000000"/>
      <w:sz w:val="20"/>
      <w:szCs w:val="20"/>
      <w:u w:val="none"/>
    </w:rPr>
  </w:style>
  <w:style w:type="character" w:customStyle="1" w:styleId="12">
    <w:name w:val="font101"/>
    <w:basedOn w:val="10"/>
    <w:qFormat/>
    <w:uiPriority w:val="0"/>
    <w:rPr>
      <w:rFonts w:hint="eastAsia" w:ascii="宋体" w:hAnsi="宋体" w:eastAsia="宋体" w:cs="宋体"/>
      <w:b/>
      <w:bCs/>
      <w:color w:val="000000"/>
      <w:sz w:val="20"/>
      <w:szCs w:val="20"/>
      <w:u w:val="none"/>
    </w:rPr>
  </w:style>
  <w:style w:type="character" w:customStyle="1" w:styleId="13">
    <w:name w:val="font81"/>
    <w:basedOn w:val="10"/>
    <w:qFormat/>
    <w:uiPriority w:val="0"/>
    <w:rPr>
      <w:rFonts w:hint="default" w:ascii="Times New Roman" w:hAnsi="Times New Roman" w:cs="Times New Roman"/>
      <w:b/>
      <w:bCs/>
      <w:color w:val="000000"/>
      <w:sz w:val="20"/>
      <w:szCs w:val="20"/>
      <w:u w:val="none"/>
    </w:rPr>
  </w:style>
  <w:style w:type="character" w:customStyle="1" w:styleId="14">
    <w:name w:val="font51"/>
    <w:basedOn w:val="10"/>
    <w:qFormat/>
    <w:uiPriority w:val="0"/>
    <w:rPr>
      <w:rFonts w:hint="default" w:ascii="Times New Roman" w:hAnsi="Times New Roman" w:cs="Times New Roman"/>
      <w:color w:val="000000"/>
      <w:sz w:val="20"/>
      <w:szCs w:val="20"/>
      <w:u w:val="none"/>
    </w:rPr>
  </w:style>
  <w:style w:type="character" w:customStyle="1" w:styleId="15">
    <w:name w:val="font112"/>
    <w:basedOn w:val="10"/>
    <w:qFormat/>
    <w:uiPriority w:val="0"/>
    <w:rPr>
      <w:rFonts w:hint="eastAsia" w:ascii="宋体" w:hAnsi="宋体" w:eastAsia="宋体" w:cs="宋体"/>
      <w:b/>
      <w:bCs/>
      <w:color w:val="000000"/>
      <w:sz w:val="20"/>
      <w:szCs w:val="20"/>
      <w:u w:val="none"/>
    </w:rPr>
  </w:style>
  <w:style w:type="character" w:customStyle="1" w:styleId="16">
    <w:name w:val="font41"/>
    <w:basedOn w:val="10"/>
    <w:qFormat/>
    <w:uiPriority w:val="0"/>
    <w:rPr>
      <w:rFonts w:hint="default" w:ascii="Times New Roman" w:hAnsi="Times New Roman" w:cs="Times New Roman"/>
      <w:b/>
      <w:bCs/>
      <w:color w:val="000000"/>
      <w:sz w:val="20"/>
      <w:szCs w:val="20"/>
      <w:u w:val="none"/>
    </w:rPr>
  </w:style>
  <w:style w:type="character" w:customStyle="1" w:styleId="17">
    <w:name w:val="font01"/>
    <w:basedOn w:val="10"/>
    <w:qFormat/>
    <w:uiPriority w:val="0"/>
    <w:rPr>
      <w:rFonts w:hint="eastAsia" w:ascii="宋体" w:hAnsi="宋体" w:eastAsia="宋体" w:cs="宋体"/>
      <w:b/>
      <w:bCs/>
      <w:color w:val="000000"/>
      <w:sz w:val="20"/>
      <w:szCs w:val="20"/>
      <w:u w:val="none"/>
    </w:rPr>
  </w:style>
  <w:style w:type="character" w:customStyle="1" w:styleId="18">
    <w:name w:val="font21"/>
    <w:basedOn w:val="10"/>
    <w:qFormat/>
    <w:uiPriority w:val="0"/>
    <w:rPr>
      <w:rFonts w:hint="eastAsia" w:ascii="宋体" w:hAnsi="宋体" w:eastAsia="宋体" w:cs="宋体"/>
      <w:b/>
      <w:bCs/>
      <w:color w:val="000000"/>
      <w:sz w:val="20"/>
      <w:szCs w:val="20"/>
      <w:u w:val="none"/>
    </w:rPr>
  </w:style>
  <w:style w:type="character" w:customStyle="1" w:styleId="19">
    <w:name w:val="font191"/>
    <w:basedOn w:val="10"/>
    <w:qFormat/>
    <w:uiPriority w:val="0"/>
    <w:rPr>
      <w:rFonts w:hint="default" w:ascii="Times New Roman" w:hAnsi="Times New Roman" w:cs="Times New Roman"/>
      <w:color w:val="000000"/>
      <w:sz w:val="20"/>
      <w:szCs w:val="20"/>
      <w:u w:val="none"/>
    </w:rPr>
  </w:style>
  <w:style w:type="character" w:customStyle="1" w:styleId="20">
    <w:name w:val="font141"/>
    <w:basedOn w:val="10"/>
    <w:qFormat/>
    <w:uiPriority w:val="0"/>
    <w:rPr>
      <w:rFonts w:hint="eastAsia" w:ascii="宋体" w:hAnsi="宋体" w:eastAsia="宋体" w:cs="宋体"/>
      <w:b/>
      <w:bCs/>
      <w:color w:val="000000"/>
      <w:sz w:val="20"/>
      <w:szCs w:val="20"/>
      <w:u w:val="none"/>
    </w:rPr>
  </w:style>
  <w:style w:type="character" w:customStyle="1" w:styleId="21">
    <w:name w:val="font151"/>
    <w:basedOn w:val="10"/>
    <w:qFormat/>
    <w:uiPriority w:val="0"/>
    <w:rPr>
      <w:rFonts w:hint="eastAsia" w:ascii="宋体" w:hAnsi="宋体" w:eastAsia="宋体" w:cs="宋体"/>
      <w:b/>
      <w:bCs/>
      <w:color w:val="000000"/>
      <w:sz w:val="20"/>
      <w:szCs w:val="20"/>
      <w:u w:val="none"/>
    </w:rPr>
  </w:style>
  <w:style w:type="character" w:customStyle="1" w:styleId="22">
    <w:name w:val="font111"/>
    <w:basedOn w:val="10"/>
    <w:qFormat/>
    <w:uiPriority w:val="0"/>
    <w:rPr>
      <w:rFonts w:hint="default" w:ascii="Times New Roman" w:hAnsi="Times New Roman" w:cs="Times New Roman"/>
      <w:b/>
      <w:bCs/>
      <w:color w:val="000000"/>
      <w:sz w:val="20"/>
      <w:szCs w:val="20"/>
      <w:u w:val="none"/>
    </w:rPr>
  </w:style>
  <w:style w:type="character" w:customStyle="1" w:styleId="23">
    <w:name w:val="font91"/>
    <w:basedOn w:val="10"/>
    <w:qFormat/>
    <w:uiPriority w:val="0"/>
    <w:rPr>
      <w:rFonts w:hint="eastAsia" w:ascii="宋体" w:hAnsi="宋体" w:eastAsia="宋体" w:cs="宋体"/>
      <w:b/>
      <w:bCs/>
      <w:color w:val="000000"/>
      <w:sz w:val="20"/>
      <w:szCs w:val="20"/>
      <w:u w:val="none"/>
    </w:rPr>
  </w:style>
  <w:style w:type="character" w:customStyle="1" w:styleId="24">
    <w:name w:val="font31"/>
    <w:basedOn w:val="10"/>
    <w:qFormat/>
    <w:uiPriority w:val="0"/>
    <w:rPr>
      <w:rFonts w:hint="default" w:ascii="Times New Roman" w:hAnsi="Times New Roman" w:cs="Times New Roman"/>
      <w:b/>
      <w:bCs/>
      <w:color w:val="000000"/>
      <w:sz w:val="20"/>
      <w:szCs w:val="20"/>
      <w:u w:val="none"/>
    </w:rPr>
  </w:style>
  <w:style w:type="character" w:customStyle="1" w:styleId="25">
    <w:name w:val="font61"/>
    <w:basedOn w:val="10"/>
    <w:qFormat/>
    <w:uiPriority w:val="0"/>
    <w:rPr>
      <w:rFonts w:hint="eastAsia" w:ascii="宋体" w:hAnsi="宋体" w:eastAsia="宋体" w:cs="宋体"/>
      <w:b/>
      <w:bCs/>
      <w:color w:val="000000"/>
      <w:sz w:val="20"/>
      <w:szCs w:val="20"/>
      <w:u w:val="none"/>
    </w:rPr>
  </w:style>
  <w:style w:type="character" w:customStyle="1" w:styleId="26">
    <w:name w:val="font11"/>
    <w:basedOn w:val="10"/>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153</Pages>
  <Words>60572</Words>
  <Characters>91222</Characters>
  <Lines>0</Lines>
  <Paragraphs>0</Paragraphs>
  <TotalTime>26</TotalTime>
  <ScaleCrop>false</ScaleCrop>
  <LinksUpToDate>false</LinksUpToDate>
  <CharactersWithSpaces>92177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2023-01-28T13:27:00Z</dcterms:created>
  <dc:creator>Administrator</dc:creator>
  <cp:lastModifiedBy>Administrator</cp:lastModifiedBy>
  <cp:lastPrinted>2025-05-26T09:53:00Z</cp:lastPrinted>
  <dcterms:modified xsi:type="dcterms:W3CDTF">2025-05-28T02:55:45Z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78ACC92BE4A344F8AB717217BD76923B_13</vt:lpwstr>
  </property>
  <property fmtid="{D5CDD505-2E9C-101B-9397-08002B2CF9AE}" pid="4" name="KSOTemplateDocerSaveRecord">
    <vt:lpwstr>eyJoZGlkIjoiOGEzNDg2NzdlZjJjNGNkMGM4NjIzNWI0ZDYwZDJkMzQiLCJ1c2VySWQiOiIzOTM2MTUzNzAifQ==</vt:lpwstr>
  </property>
</Properties>
</file>