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bidi w:val="0"/>
        <w:rPr>
          <w:rFonts w:hint="eastAsia"/>
        </w:rPr>
      </w:pPr>
      <w:r>
        <w:rPr>
          <w:rFonts w:hint="eastAsia"/>
        </w:rPr>
        <w:t>《关于印发 新疆维吾尔自治区新疆生产建设兵团市场监管领域减免责“三项清单”（2023年版）的通知》政策解读</w:t>
      </w:r>
    </w:p>
    <w:p>
      <w:pPr>
        <w:pStyle w:val="12"/>
        <w:bidi w:val="0"/>
        <w:rPr>
          <w:rFonts w:hint="default"/>
          <w:lang w:val="en-US" w:eastAsia="zh-CN"/>
        </w:rPr>
      </w:pPr>
      <w:r>
        <w:rPr>
          <w:rFonts w:hint="eastAsia"/>
          <w:lang w:val="en-US" w:eastAsia="zh-CN"/>
        </w:rPr>
        <w:t>（2023年12月1日）</w:t>
      </w:r>
      <w:bookmarkStart w:id="0" w:name="_GoBack"/>
      <w:bookmarkEnd w:id="0"/>
    </w:p>
    <w:p>
      <w:pPr>
        <w:bidi w:val="0"/>
        <w:rPr>
          <w:rFonts w:hint="eastAsia"/>
        </w:rPr>
      </w:pPr>
    </w:p>
    <w:p>
      <w:pPr>
        <w:pStyle w:val="2"/>
        <w:bidi w:val="0"/>
        <w:rPr>
          <w:rFonts w:hint="eastAsia"/>
        </w:rPr>
      </w:pPr>
      <w:r>
        <w:rPr>
          <w:rFonts w:hint="eastAsia"/>
        </w:rPr>
        <w:t>一、背景意义</w:t>
      </w:r>
    </w:p>
    <w:p>
      <w:pPr>
        <w:bidi w:val="0"/>
        <w:ind w:firstLine="648" w:firstLineChars="200"/>
        <w:rPr>
          <w:rFonts w:hint="eastAsia"/>
        </w:rPr>
      </w:pPr>
      <w:r>
        <w:rPr>
          <w:rFonts w:hint="eastAsia"/>
        </w:rPr>
        <w:t>2023年，自治区市场监管局联合兵团市场监管局先后印发“首违不罚”“轻微违法行为不予行政处罚”2件规范性文件，着眼优化法治化市场环境，积极推进包容审慎监管取得新进展。为持续释放法治建设红利，在认真梳理行政裁量、不予行政处罚等制度基础上，制定了《新疆维吾尔自治区 新疆生产建设兵团市场监管领域减免责“三项清单”（2023年版）》（以下简称“三项清单”）。“三项清单”包括：从轻行政处罚事项清单、减轻行政处罚事项清单、免予行政强制措施清单，与“首违不罚”、“轻微违法行为不予行政处罚”以及“行政处罚裁量基准”等规范性文件共同构成自治区市场监管领域包容审慎监管基本制度体系，进一步提升了市场监管领域行政执法服务能力，为激发市场活力注入了新动力。</w:t>
      </w:r>
    </w:p>
    <w:p>
      <w:pPr>
        <w:pStyle w:val="2"/>
        <w:bidi w:val="0"/>
        <w:rPr>
          <w:rFonts w:hint="eastAsia"/>
        </w:rPr>
      </w:pPr>
      <w:r>
        <w:rPr>
          <w:rFonts w:hint="eastAsia"/>
        </w:rPr>
        <w:t>二、制定依据</w:t>
      </w:r>
    </w:p>
    <w:p>
      <w:pPr>
        <w:bidi w:val="0"/>
        <w:ind w:firstLine="648" w:firstLineChars="200"/>
        <w:rPr>
          <w:rFonts w:hint="eastAsia"/>
        </w:rPr>
      </w:pPr>
      <w:r>
        <w:rPr>
          <w:rFonts w:hint="eastAsia"/>
        </w:rPr>
        <w:t>根据《中华人民共和国行政处罚法》《关于规范市场监督管理行政处罚裁量权的指导意见》《新疆维吾尔自治区 新疆生产建设兵团市场监督管理行政处罚裁量权适用规定（试行）》《新疆维吾尔自治区 新疆生产建设兵团市场监督管理行政处罚裁量基准（试行）》（以下简称“基准”）等规定，结合实际，在自治区市场监管系统、兵团市场监管系统、社会公众广泛征求意见建议的基础上，制定“三项清单”。</w:t>
      </w:r>
    </w:p>
    <w:p>
      <w:pPr>
        <w:pStyle w:val="2"/>
        <w:bidi w:val="0"/>
        <w:rPr>
          <w:rFonts w:hint="eastAsia"/>
        </w:rPr>
      </w:pPr>
      <w:r>
        <w:rPr>
          <w:rFonts w:hint="eastAsia"/>
        </w:rPr>
        <w:t>三、主要内容</w:t>
      </w:r>
    </w:p>
    <w:p>
      <w:pPr>
        <w:bidi w:val="0"/>
        <w:ind w:firstLine="648" w:firstLineChars="200"/>
        <w:rPr>
          <w:rFonts w:hint="eastAsia"/>
        </w:rPr>
      </w:pPr>
      <w:r>
        <w:rPr>
          <w:rFonts w:hint="eastAsia"/>
        </w:rPr>
        <w:t>“三项清单”对80余种市场监管领域的违法行为从轻、减轻行政处罚和免予行政强制做出了具体规定，涉及知识产权、计量、价格、广告等多个监管领域。</w:t>
      </w:r>
    </w:p>
    <w:p>
      <w:pPr>
        <w:pStyle w:val="2"/>
        <w:bidi w:val="0"/>
        <w:rPr>
          <w:rFonts w:hint="eastAsia"/>
        </w:rPr>
      </w:pPr>
      <w:r>
        <w:rPr>
          <w:rFonts w:hint="eastAsia"/>
        </w:rPr>
        <w:t>四、特色亮点</w:t>
      </w:r>
    </w:p>
    <w:p>
      <w:pPr>
        <w:bidi w:val="0"/>
        <w:ind w:firstLine="648" w:firstLineChars="200"/>
        <w:rPr>
          <w:rFonts w:hint="eastAsia"/>
        </w:rPr>
      </w:pPr>
      <w:r>
        <w:rPr>
          <w:rFonts w:hint="eastAsia"/>
        </w:rPr>
        <w:t>（一）进一步加强对经济的服务能力、对主体的纾困能力和扶持力度。如：把“因残疾或者重大疾病等原因生活确有困难”纳入了从轻、减轻行政处罚的裁量依据。</w:t>
      </w:r>
    </w:p>
    <w:p>
      <w:pPr>
        <w:bidi w:val="0"/>
        <w:ind w:firstLine="648" w:firstLineChars="200"/>
        <w:rPr>
          <w:rFonts w:hint="eastAsia"/>
        </w:rPr>
      </w:pPr>
      <w:r>
        <w:rPr>
          <w:rFonts w:hint="eastAsia"/>
        </w:rPr>
        <w:t>（二）“三项清单”与“基准”、“首违不罚”、“轻微违法行为不予行政处罚”是一脉相承的，在责令改正等概念运用上、裁量幅度上延续了前期的规定，保证了制度的延续性和一致性。</w:t>
      </w:r>
    </w:p>
    <w:p>
      <w:pPr>
        <w:bidi w:val="0"/>
        <w:ind w:firstLine="648" w:firstLineChars="200"/>
        <w:rPr>
          <w:rFonts w:hint="eastAsia"/>
        </w:rPr>
      </w:pPr>
      <w:r>
        <w:rPr>
          <w:rFonts w:hint="eastAsia"/>
        </w:rPr>
        <w:t>（三）本次印发的“三个清单”不再单独制定相关规定，在适用过程中需要明确或强调的重点内容以通知的形式提出，简单明了，进一步降低了清单适用的复杂性。</w:t>
      </w:r>
    </w:p>
    <w:p>
      <w:pPr>
        <w:bidi w:val="0"/>
        <w:ind w:firstLine="648" w:firstLineChars="200"/>
        <w:rPr>
          <w:rFonts w:hint="eastAsia"/>
        </w:rPr>
      </w:pPr>
      <w:r>
        <w:rPr>
          <w:rFonts w:hint="eastAsia"/>
        </w:rPr>
        <w:t>（四）坚持处罚与教育相结合的原则，在清单制定过程中，将责令改正作为基本要求进行了再明确。</w:t>
      </w:r>
    </w:p>
    <w:p>
      <w:pPr>
        <w:bidi w:val="0"/>
        <w:ind w:firstLine="648" w:firstLineChars="200"/>
        <w:rPr>
          <w:rFonts w:hint="eastAsia"/>
        </w:rPr>
      </w:pPr>
      <w:r>
        <w:rPr>
          <w:rFonts w:hint="eastAsia"/>
        </w:rPr>
        <w:t>（五）明确了“三项清单”与各地州市市场监管局制定的类似清单的适用层级和适用方法，在统一标准的基础上，强调了“立足实际”的重要性。</w:t>
      </w:r>
    </w:p>
    <w:sectPr>
      <w:pgSz w:w="11906" w:h="16838"/>
      <w:pgMar w:top="1984" w:right="1531" w:bottom="1701" w:left="1531" w:header="851" w:footer="992" w:gutter="0"/>
      <w:pgNumType w:fmt="numberInDash"/>
      <w:cols w:space="0" w:num="1"/>
      <w:rtlGutter w:val="0"/>
      <w:docGrid w:type="linesAndChars" w:linePitch="574"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ODliYTQxZjE3NGUxOGIxYTg4NjYyZTk3YWYwNzYifQ=="/>
  </w:docVars>
  <w:rsids>
    <w:rsidRoot w:val="00000000"/>
    <w:rsid w:val="045D323A"/>
    <w:rsid w:val="06F81936"/>
    <w:rsid w:val="0763622F"/>
    <w:rsid w:val="08140083"/>
    <w:rsid w:val="099C30DE"/>
    <w:rsid w:val="0BA65B41"/>
    <w:rsid w:val="0C0F3737"/>
    <w:rsid w:val="10465F7B"/>
    <w:rsid w:val="109159BF"/>
    <w:rsid w:val="144473FA"/>
    <w:rsid w:val="14CF1DC6"/>
    <w:rsid w:val="14D518FC"/>
    <w:rsid w:val="1517738F"/>
    <w:rsid w:val="15DA1BCB"/>
    <w:rsid w:val="167D4E88"/>
    <w:rsid w:val="19093995"/>
    <w:rsid w:val="1ACA5497"/>
    <w:rsid w:val="1BAE0C24"/>
    <w:rsid w:val="1CBB31E5"/>
    <w:rsid w:val="1FBA4AE0"/>
    <w:rsid w:val="21D95A97"/>
    <w:rsid w:val="22034E1E"/>
    <w:rsid w:val="22E52484"/>
    <w:rsid w:val="237D64A8"/>
    <w:rsid w:val="24183AFA"/>
    <w:rsid w:val="245E1126"/>
    <w:rsid w:val="258A5AD9"/>
    <w:rsid w:val="258E1EAC"/>
    <w:rsid w:val="26F601D4"/>
    <w:rsid w:val="29A12D8D"/>
    <w:rsid w:val="2A56358D"/>
    <w:rsid w:val="2B075941"/>
    <w:rsid w:val="2E2E45E8"/>
    <w:rsid w:val="2F0208BE"/>
    <w:rsid w:val="30685901"/>
    <w:rsid w:val="31F779D2"/>
    <w:rsid w:val="3215673B"/>
    <w:rsid w:val="38C3016B"/>
    <w:rsid w:val="38E54EE0"/>
    <w:rsid w:val="3AD230C4"/>
    <w:rsid w:val="3D6E0138"/>
    <w:rsid w:val="3D9467B6"/>
    <w:rsid w:val="40820D55"/>
    <w:rsid w:val="40FA352B"/>
    <w:rsid w:val="417946B7"/>
    <w:rsid w:val="419C71EA"/>
    <w:rsid w:val="431D3F4D"/>
    <w:rsid w:val="447D579B"/>
    <w:rsid w:val="45306E46"/>
    <w:rsid w:val="47951B34"/>
    <w:rsid w:val="48340576"/>
    <w:rsid w:val="4BEF4190"/>
    <w:rsid w:val="4DEF1CFE"/>
    <w:rsid w:val="4FC77748"/>
    <w:rsid w:val="508F5FDE"/>
    <w:rsid w:val="51662889"/>
    <w:rsid w:val="529A4BA6"/>
    <w:rsid w:val="533118E1"/>
    <w:rsid w:val="53F1537B"/>
    <w:rsid w:val="54787335"/>
    <w:rsid w:val="575F6CA0"/>
    <w:rsid w:val="58133D62"/>
    <w:rsid w:val="581C6A22"/>
    <w:rsid w:val="58A93002"/>
    <w:rsid w:val="5A3F7DF0"/>
    <w:rsid w:val="5A665F2A"/>
    <w:rsid w:val="5B78716A"/>
    <w:rsid w:val="5BFE2C59"/>
    <w:rsid w:val="5E746D16"/>
    <w:rsid w:val="61386EF3"/>
    <w:rsid w:val="61730E73"/>
    <w:rsid w:val="6219008E"/>
    <w:rsid w:val="62AA0953"/>
    <w:rsid w:val="62D6077E"/>
    <w:rsid w:val="63472E3E"/>
    <w:rsid w:val="6384033F"/>
    <w:rsid w:val="648559F0"/>
    <w:rsid w:val="64C94F3B"/>
    <w:rsid w:val="64DC6D0B"/>
    <w:rsid w:val="64F261ED"/>
    <w:rsid w:val="6669249A"/>
    <w:rsid w:val="66955EE2"/>
    <w:rsid w:val="68B73898"/>
    <w:rsid w:val="6A2A549F"/>
    <w:rsid w:val="6AF93A91"/>
    <w:rsid w:val="6BB67541"/>
    <w:rsid w:val="6D092C46"/>
    <w:rsid w:val="6D117AFF"/>
    <w:rsid w:val="70E1201F"/>
    <w:rsid w:val="71AD216C"/>
    <w:rsid w:val="72D64904"/>
    <w:rsid w:val="73463579"/>
    <w:rsid w:val="73A32A6E"/>
    <w:rsid w:val="7405396A"/>
    <w:rsid w:val="74EF4C5E"/>
    <w:rsid w:val="7868069C"/>
    <w:rsid w:val="79E06937"/>
    <w:rsid w:val="7A06325B"/>
    <w:rsid w:val="7D272A41"/>
    <w:rsid w:val="7D547D6F"/>
    <w:rsid w:val="7E673AF5"/>
    <w:rsid w:val="7EA513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spacing w:line="570" w:lineRule="exact"/>
      <w:ind w:firstLine="0" w:firstLineChars="0"/>
      <w:jc w:val="both"/>
    </w:pPr>
    <w:rPr>
      <w:rFonts w:ascii="Times New Roman" w:hAnsi="Times New Roman" w:eastAsia="方正仿宋_GBK" w:cstheme="minorBidi"/>
      <w:spacing w:val="6"/>
      <w:kern w:val="2"/>
      <w:sz w:val="32"/>
      <w:szCs w:val="24"/>
      <w:lang w:val="en-US" w:eastAsia="zh-CN" w:bidi="ar-SA"/>
    </w:rPr>
  </w:style>
  <w:style w:type="paragraph" w:styleId="2">
    <w:name w:val="heading 1"/>
    <w:basedOn w:val="1"/>
    <w:next w:val="3"/>
    <w:qFormat/>
    <w:uiPriority w:val="0"/>
    <w:pPr>
      <w:keepNext w:val="0"/>
      <w:keepLines w:val="0"/>
      <w:spacing w:beforeAutospacing="0" w:afterLines="0" w:afterAutospacing="0" w:line="570" w:lineRule="exact"/>
      <w:ind w:firstLine="640" w:firstLineChars="200"/>
      <w:outlineLvl w:val="0"/>
    </w:pPr>
    <w:rPr>
      <w:rFonts w:ascii="Times New Roman" w:hAnsi="Times New Roman" w:eastAsia="方正黑体_GBK"/>
      <w:kern w:val="44"/>
    </w:rPr>
  </w:style>
  <w:style w:type="paragraph" w:styleId="4">
    <w:name w:val="heading 2"/>
    <w:basedOn w:val="1"/>
    <w:next w:val="3"/>
    <w:unhideWhenUsed/>
    <w:qFormat/>
    <w:uiPriority w:val="0"/>
    <w:pPr>
      <w:keepNext w:val="0"/>
      <w:keepLines w:val="0"/>
      <w:spacing w:beforeAutospacing="0" w:afterLines="0" w:afterAutospacing="0" w:line="570" w:lineRule="exact"/>
      <w:ind w:firstLine="880" w:firstLineChars="200"/>
      <w:jc w:val="both"/>
      <w:outlineLvl w:val="1"/>
    </w:pPr>
    <w:rPr>
      <w:rFonts w:ascii="Times New Roman" w:hAnsi="Times New Roman" w:eastAsia="方正楷体_GBK"/>
      <w:b/>
    </w:rPr>
  </w:style>
  <w:style w:type="paragraph" w:styleId="5">
    <w:name w:val="heading 3"/>
    <w:basedOn w:val="1"/>
    <w:next w:val="1"/>
    <w:link w:val="17"/>
    <w:semiHidden/>
    <w:unhideWhenUsed/>
    <w:qFormat/>
    <w:uiPriority w:val="0"/>
    <w:pPr>
      <w:keepNext w:val="0"/>
      <w:keepLines w:val="0"/>
      <w:spacing w:beforeLines="0" w:beforeAutospacing="0" w:afterLines="0" w:afterAutospacing="0" w:line="570" w:lineRule="exact"/>
      <w:ind w:firstLine="880" w:firstLineChars="200"/>
      <w:outlineLvl w:val="2"/>
    </w:pPr>
    <w:rPr>
      <w:rFonts w:ascii="Times New Roman" w:hAnsi="Times New Roman"/>
      <w:b/>
    </w:rPr>
  </w:style>
  <w:style w:type="paragraph" w:styleId="6">
    <w:name w:val="heading 4"/>
    <w:basedOn w:val="1"/>
    <w:next w:val="3"/>
    <w:link w:val="15"/>
    <w:semiHidden/>
    <w:unhideWhenUsed/>
    <w:qFormat/>
    <w:uiPriority w:val="0"/>
    <w:pPr>
      <w:keepNext w:val="0"/>
      <w:keepLines w:val="0"/>
      <w:spacing w:beforeLines="0" w:beforeAutospacing="0" w:afterLines="0" w:afterAutospacing="0" w:line="570" w:lineRule="exact"/>
      <w:ind w:firstLine="624" w:firstLineChars="200"/>
      <w:outlineLvl w:val="3"/>
    </w:pPr>
    <w:rPr>
      <w:rFonts w:ascii="Times New Roman" w:hAnsi="Times New Roman"/>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3">
    <w:name w:val="正文（自定义）"/>
    <w:basedOn w:val="1"/>
    <w:link w:val="16"/>
    <w:qFormat/>
    <w:uiPriority w:val="0"/>
    <w:pPr>
      <w:spacing w:afterLines="0"/>
      <w:ind w:firstLine="640" w:firstLineChars="200"/>
      <w:outlineLvl w:val="3"/>
    </w:pPr>
    <w:rPr>
      <w:rFonts w:ascii="Times New Roman" w:hAnsi="Times New Roman"/>
      <w:kern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页面主标题"/>
    <w:basedOn w:val="1"/>
    <w:qFormat/>
    <w:uiPriority w:val="0"/>
    <w:pPr>
      <w:spacing w:line="570" w:lineRule="exact"/>
      <w:jc w:val="center"/>
    </w:pPr>
    <w:rPr>
      <w:rFonts w:ascii="Times New Roman" w:hAnsi="Times New Roman" w:eastAsia="方正小标宋_GBK" w:cs="方正小标宋_GBK"/>
      <w:sz w:val="44"/>
    </w:rPr>
  </w:style>
  <w:style w:type="paragraph" w:customStyle="1" w:styleId="12">
    <w:name w:val="页面辅标题"/>
    <w:basedOn w:val="1"/>
    <w:qFormat/>
    <w:uiPriority w:val="0"/>
    <w:pPr>
      <w:spacing w:line="570" w:lineRule="exact"/>
      <w:jc w:val="center"/>
    </w:pPr>
    <w:rPr>
      <w:rFonts w:ascii="Times New Roman" w:hAnsi="Times New Roman" w:eastAsia="方正楷体_GBK"/>
    </w:rPr>
  </w:style>
  <w:style w:type="paragraph" w:customStyle="1" w:styleId="13">
    <w:name w:val="封皮主标题"/>
    <w:basedOn w:val="1"/>
    <w:qFormat/>
    <w:uiPriority w:val="0"/>
    <w:pPr>
      <w:spacing w:line="240" w:lineRule="auto"/>
      <w:ind w:firstLine="0" w:firstLineChars="0"/>
      <w:jc w:val="center"/>
    </w:pPr>
    <w:rPr>
      <w:rFonts w:eastAsia="方正黑体_GBK"/>
      <w:b/>
      <w:sz w:val="52"/>
    </w:rPr>
  </w:style>
  <w:style w:type="paragraph" w:customStyle="1" w:styleId="14">
    <w:name w:val="封皮副标题"/>
    <w:basedOn w:val="1"/>
    <w:qFormat/>
    <w:uiPriority w:val="0"/>
    <w:pPr>
      <w:jc w:val="center"/>
    </w:pPr>
    <w:rPr>
      <w:rFonts w:eastAsia="方正楷体_GBK" w:asciiTheme="minorAscii" w:hAnsiTheme="minorAscii"/>
      <w:b/>
    </w:rPr>
  </w:style>
  <w:style w:type="character" w:customStyle="1" w:styleId="15">
    <w:name w:val="标题 4 Char"/>
    <w:link w:val="6"/>
    <w:qFormat/>
    <w:uiPriority w:val="0"/>
    <w:rPr>
      <w:rFonts w:ascii="Times New Roman" w:hAnsi="Times New Roman" w:eastAsia="方正仿宋_GBK"/>
      <w:b/>
      <w:sz w:val="32"/>
    </w:rPr>
  </w:style>
  <w:style w:type="character" w:customStyle="1" w:styleId="16">
    <w:name w:val="正文（自定义） Char"/>
    <w:link w:val="3"/>
    <w:qFormat/>
    <w:uiPriority w:val="0"/>
    <w:rPr>
      <w:rFonts w:ascii="Times New Roman" w:hAnsi="Times New Roman" w:eastAsia="方正仿宋_GBK"/>
      <w:kern w:val="44"/>
    </w:rPr>
  </w:style>
  <w:style w:type="character" w:customStyle="1" w:styleId="17">
    <w:name w:val="标题 3 Char"/>
    <w:link w:val="5"/>
    <w:qFormat/>
    <w:uiPriority w:val="0"/>
    <w:rPr>
      <w:rFonts w:ascii="Times New Roman" w:hAnsi="Times New Roman" w:eastAsia="方正仿宋_GBK"/>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976</Words>
  <Characters>990</Characters>
  <Lines>0</Lines>
  <Paragraphs>0</Paragraphs>
  <TotalTime>0</TotalTime>
  <ScaleCrop>false</ScaleCrop>
  <LinksUpToDate>false</LinksUpToDate>
  <CharactersWithSpaces>994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2020-12-29T07:49:00Z</dcterms:created>
  <dc:creator>Administrator</dc:creator>
  <cp:lastModifiedBy>一水先生</cp:lastModifiedBy>
  <dcterms:modified xsi:type="dcterms:W3CDTF">2023-12-27T11:59:09Z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696B84E854B24079A5E0C90E5908BFD5</vt:lpwstr>
  </property>
</Properties>
</file>